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05348" w14:textId="77777777" w:rsidR="000C1AA5" w:rsidRDefault="000C1AA5" w:rsidP="006C254D">
      <w:pPr>
        <w:spacing w:after="0" w:line="312" w:lineRule="auto"/>
        <w:jc w:val="center"/>
        <w:rPr>
          <w:rFonts w:ascii="Times New Roman" w:hAnsi="Times New Roman"/>
          <w:b/>
          <w:sz w:val="24"/>
          <w:szCs w:val="24"/>
        </w:rPr>
      </w:pPr>
      <w:r>
        <w:rPr>
          <w:noProof/>
        </w:rPr>
        <w:pict w14:anchorId="70713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pt;margin-top:-8.8pt;width:77.2pt;height:88.2pt;z-index:-2" wrapcoords="210 549 210 2929 3775 3478 17825 3478 4404 4942 629 5492 419 14095 3984 15193 10695 15193 2726 16841 1678 17207 1678 18122 629 20136 419 20685 20551 20685 20761 20685 21390 17390 19503 16841 10695 15193 17406 15193 21600 14095 21390 2563 20342 915 19293 549 210 549">
            <v:imagedata r:id="rId11" o:title="a_sig_vert_2c_bk_png_HighRes"/>
            <w10:wrap type="through"/>
          </v:shape>
        </w:pict>
      </w:r>
    </w:p>
    <w:p w14:paraId="2207B857" w14:textId="77777777" w:rsidR="000C1AA5" w:rsidRDefault="000C1AA5" w:rsidP="006C254D">
      <w:pPr>
        <w:spacing w:after="0" w:line="312" w:lineRule="auto"/>
        <w:jc w:val="center"/>
        <w:rPr>
          <w:rFonts w:ascii="Times New Roman" w:hAnsi="Times New Roman"/>
          <w:b/>
          <w:sz w:val="24"/>
          <w:szCs w:val="24"/>
        </w:rPr>
      </w:pPr>
    </w:p>
    <w:p w14:paraId="1D37AA83" w14:textId="77777777" w:rsidR="000C1AA5" w:rsidRDefault="000C1AA5" w:rsidP="006C254D">
      <w:pPr>
        <w:spacing w:after="0" w:line="312" w:lineRule="auto"/>
        <w:jc w:val="center"/>
        <w:rPr>
          <w:rFonts w:ascii="Times New Roman" w:hAnsi="Times New Roman"/>
          <w:b/>
          <w:sz w:val="24"/>
          <w:szCs w:val="24"/>
        </w:rPr>
      </w:pPr>
    </w:p>
    <w:p w14:paraId="7B95334F" w14:textId="77777777" w:rsidR="000C1AA5" w:rsidRDefault="000C1AA5" w:rsidP="006C254D">
      <w:pPr>
        <w:spacing w:after="0" w:line="312" w:lineRule="auto"/>
        <w:jc w:val="center"/>
        <w:rPr>
          <w:rFonts w:ascii="Times New Roman" w:hAnsi="Times New Roman"/>
          <w:b/>
          <w:sz w:val="24"/>
          <w:szCs w:val="24"/>
        </w:rPr>
      </w:pPr>
    </w:p>
    <w:p w14:paraId="25DE6818" w14:textId="77777777" w:rsidR="000C1AA5" w:rsidRDefault="000C1AA5" w:rsidP="006C254D">
      <w:pPr>
        <w:spacing w:after="0" w:line="312" w:lineRule="auto"/>
        <w:jc w:val="center"/>
        <w:rPr>
          <w:rFonts w:ascii="Times New Roman" w:hAnsi="Times New Roman"/>
          <w:b/>
          <w:sz w:val="24"/>
          <w:szCs w:val="24"/>
        </w:rPr>
      </w:pPr>
    </w:p>
    <w:p w14:paraId="604C2713" w14:textId="77777777" w:rsidR="000C1AA5" w:rsidRDefault="000C1AA5" w:rsidP="006C254D">
      <w:pPr>
        <w:spacing w:after="0" w:line="312" w:lineRule="auto"/>
        <w:jc w:val="center"/>
        <w:rPr>
          <w:rFonts w:ascii="Times New Roman" w:hAnsi="Times New Roman"/>
          <w:b/>
          <w:sz w:val="24"/>
          <w:szCs w:val="24"/>
        </w:rPr>
      </w:pPr>
    </w:p>
    <w:p w14:paraId="6483F33E" w14:textId="77777777" w:rsidR="00C8237C" w:rsidRDefault="00C8237C" w:rsidP="006C254D">
      <w:pPr>
        <w:spacing w:after="0" w:line="312" w:lineRule="auto"/>
        <w:jc w:val="center"/>
        <w:rPr>
          <w:rFonts w:ascii="Times New Roman" w:hAnsi="Times New Roman"/>
          <w:b/>
          <w:sz w:val="24"/>
          <w:szCs w:val="24"/>
        </w:rPr>
      </w:pPr>
    </w:p>
    <w:p w14:paraId="35178E94" w14:textId="77777777" w:rsidR="000C1AA5" w:rsidRDefault="000C1AA5" w:rsidP="006C254D">
      <w:pPr>
        <w:spacing w:after="0" w:line="312" w:lineRule="auto"/>
        <w:jc w:val="center"/>
        <w:rPr>
          <w:rFonts w:ascii="Times New Roman" w:hAnsi="Times New Roman"/>
          <w:b/>
          <w:sz w:val="24"/>
          <w:szCs w:val="24"/>
        </w:rPr>
      </w:pPr>
    </w:p>
    <w:p w14:paraId="63C5A3AC" w14:textId="77777777" w:rsidR="00525032" w:rsidRPr="00FC290A" w:rsidRDefault="00525032" w:rsidP="00FC290A">
      <w:pPr>
        <w:spacing w:after="0" w:line="312" w:lineRule="auto"/>
        <w:jc w:val="center"/>
        <w:rPr>
          <w:rFonts w:ascii="Times New Roman" w:hAnsi="Times New Roman"/>
          <w:b/>
          <w:sz w:val="24"/>
          <w:szCs w:val="24"/>
        </w:rPr>
      </w:pPr>
      <w:r w:rsidRPr="002D1143">
        <w:rPr>
          <w:rFonts w:ascii="Times New Roman" w:hAnsi="Times New Roman"/>
          <w:b/>
          <w:sz w:val="24"/>
          <w:szCs w:val="24"/>
        </w:rPr>
        <w:t>Physician Office Prior Authorization Support: Tool Kit Instructions</w:t>
      </w:r>
    </w:p>
    <w:p w14:paraId="3024EA82" w14:textId="77777777" w:rsidR="00FC290A" w:rsidRPr="002D1143" w:rsidRDefault="00FC290A" w:rsidP="006C254D">
      <w:pPr>
        <w:spacing w:after="0" w:line="312" w:lineRule="auto"/>
        <w:rPr>
          <w:rFonts w:ascii="Times New Roman" w:hAnsi="Times New Roman"/>
        </w:rPr>
      </w:pPr>
    </w:p>
    <w:p w14:paraId="13453BB8" w14:textId="77777777" w:rsidR="00525032" w:rsidRPr="002D1143" w:rsidRDefault="00525032" w:rsidP="006C254D">
      <w:pPr>
        <w:spacing w:after="0" w:line="312" w:lineRule="auto"/>
        <w:rPr>
          <w:rFonts w:ascii="Times New Roman" w:hAnsi="Times New Roman"/>
        </w:rPr>
      </w:pPr>
      <w:r w:rsidRPr="002D1143">
        <w:rPr>
          <w:rFonts w:ascii="Times New Roman" w:hAnsi="Times New Roman"/>
        </w:rPr>
        <w:t>The Prior Authorization Tool Kit is designed to help your office with the process of submitting prior authorization requests to private payers for your patients.  The information included in this tool kit will serve as a guide to assist your office in submitting prior authorization requests to private payers to confirm coverage for patients who would benefit from a carotid artery stent procedure.</w:t>
      </w:r>
      <w:r w:rsidR="00FC290A" w:rsidRPr="00FC290A">
        <w:rPr>
          <w:rFonts w:ascii="Times New Roman" w:hAnsi="Times New Roman"/>
        </w:rPr>
        <w:t xml:space="preserve"> </w:t>
      </w:r>
      <w:r w:rsidR="00FC290A">
        <w:rPr>
          <w:rFonts w:ascii="Times New Roman" w:hAnsi="Times New Roman"/>
        </w:rPr>
        <w:t>This kit is not an endorsed resource of any payer, as providers are highly encouraged to review policy and requirements for prior authorization and medical guidelines. Please do not include this form in your submission to the payer.</w:t>
      </w:r>
    </w:p>
    <w:p w14:paraId="6210C80D" w14:textId="77777777" w:rsidR="00525032" w:rsidRPr="002D1143" w:rsidRDefault="00525032" w:rsidP="006C254D">
      <w:pPr>
        <w:spacing w:after="0" w:line="312" w:lineRule="auto"/>
        <w:rPr>
          <w:rFonts w:ascii="Times New Roman" w:hAnsi="Times New Roman"/>
        </w:rPr>
      </w:pPr>
    </w:p>
    <w:p w14:paraId="38D77C21" w14:textId="77777777" w:rsidR="00525032" w:rsidRPr="002D1143" w:rsidRDefault="00525032" w:rsidP="006C254D">
      <w:pPr>
        <w:spacing w:after="0" w:line="312" w:lineRule="auto"/>
        <w:rPr>
          <w:rFonts w:ascii="Times New Roman" w:hAnsi="Times New Roman"/>
          <w:b/>
        </w:rPr>
      </w:pPr>
      <w:r w:rsidRPr="002D1143">
        <w:rPr>
          <w:rFonts w:ascii="Times New Roman" w:hAnsi="Times New Roman"/>
          <w:b/>
        </w:rPr>
        <w:t>The Commercial Payer Toolkit</w:t>
      </w:r>
    </w:p>
    <w:p w14:paraId="3DC1DCEC" w14:textId="77777777" w:rsidR="00525032" w:rsidRPr="002D1143" w:rsidRDefault="00525032" w:rsidP="006C254D">
      <w:pPr>
        <w:spacing w:after="0" w:line="312" w:lineRule="auto"/>
        <w:rPr>
          <w:rFonts w:ascii="Times New Roman" w:hAnsi="Times New Roman"/>
          <w:b/>
        </w:rPr>
      </w:pPr>
    </w:p>
    <w:p w14:paraId="514528E4" w14:textId="77777777" w:rsidR="00525032" w:rsidRPr="002D1143" w:rsidRDefault="00525032" w:rsidP="006C254D">
      <w:pPr>
        <w:spacing w:after="0" w:line="312" w:lineRule="auto"/>
        <w:rPr>
          <w:rFonts w:ascii="Times New Roman" w:hAnsi="Times New Roman"/>
        </w:rPr>
      </w:pPr>
      <w:r w:rsidRPr="002D1143">
        <w:rPr>
          <w:rFonts w:ascii="Times New Roman" w:hAnsi="Times New Roman"/>
        </w:rPr>
        <w:t>This tool kit is designed to assist physician offices seeking prior authorization for patients who are candidates for carotid artery stenting</w:t>
      </w:r>
      <w:r w:rsidR="005415C3">
        <w:rPr>
          <w:rFonts w:ascii="Times New Roman" w:hAnsi="Times New Roman"/>
        </w:rPr>
        <w:t xml:space="preserve"> (CAS)</w:t>
      </w:r>
      <w:r w:rsidRPr="002D1143">
        <w:rPr>
          <w:rFonts w:ascii="Times New Roman" w:hAnsi="Times New Roman"/>
        </w:rPr>
        <w:t xml:space="preserve"> and includes the following documents:</w:t>
      </w:r>
    </w:p>
    <w:p w14:paraId="653EA6E4" w14:textId="77777777" w:rsidR="00525032" w:rsidRPr="002D1143" w:rsidRDefault="00525032" w:rsidP="006C254D">
      <w:pPr>
        <w:spacing w:after="0" w:line="312" w:lineRule="auto"/>
        <w:rPr>
          <w:rFonts w:ascii="Times New Roman" w:hAnsi="Times New Roman"/>
        </w:rPr>
      </w:pPr>
    </w:p>
    <w:p w14:paraId="2F956088" w14:textId="77777777" w:rsidR="00525032" w:rsidRPr="002D1143" w:rsidRDefault="00525032" w:rsidP="006C254D">
      <w:pPr>
        <w:pStyle w:val="ListParagraph"/>
        <w:numPr>
          <w:ilvl w:val="0"/>
          <w:numId w:val="1"/>
        </w:numPr>
        <w:spacing w:after="0" w:line="312" w:lineRule="auto"/>
        <w:rPr>
          <w:rFonts w:ascii="Times New Roman" w:hAnsi="Times New Roman"/>
        </w:rPr>
      </w:pPr>
      <w:r w:rsidRPr="002D1143">
        <w:rPr>
          <w:rFonts w:ascii="Times New Roman" w:hAnsi="Times New Roman"/>
        </w:rPr>
        <w:t>Sample Standard Risk CAS Letter of Medical Necessity</w:t>
      </w:r>
    </w:p>
    <w:p w14:paraId="10A503DF" w14:textId="77777777" w:rsidR="00525032" w:rsidRPr="002D1143" w:rsidRDefault="00525032" w:rsidP="00C228C2">
      <w:pPr>
        <w:pStyle w:val="ListParagraph"/>
        <w:numPr>
          <w:ilvl w:val="0"/>
          <w:numId w:val="1"/>
        </w:numPr>
        <w:spacing w:after="0" w:line="312" w:lineRule="auto"/>
        <w:rPr>
          <w:rFonts w:ascii="Times New Roman" w:hAnsi="Times New Roman"/>
        </w:rPr>
      </w:pPr>
      <w:r w:rsidRPr="002D1143">
        <w:rPr>
          <w:rFonts w:ascii="Times New Roman" w:hAnsi="Times New Roman"/>
        </w:rPr>
        <w:t>Sample High Risk CAS Letter of Medical Necessity</w:t>
      </w:r>
    </w:p>
    <w:p w14:paraId="259239E9" w14:textId="77777777" w:rsidR="00525032" w:rsidRDefault="00525032" w:rsidP="00C8237C">
      <w:pPr>
        <w:pStyle w:val="ListParagraph"/>
        <w:numPr>
          <w:ilvl w:val="0"/>
          <w:numId w:val="1"/>
        </w:numPr>
        <w:spacing w:after="0" w:line="312" w:lineRule="auto"/>
        <w:rPr>
          <w:rFonts w:ascii="Times New Roman" w:hAnsi="Times New Roman"/>
        </w:rPr>
      </w:pPr>
      <w:r w:rsidRPr="002D1143">
        <w:rPr>
          <w:rFonts w:ascii="Times New Roman" w:hAnsi="Times New Roman"/>
        </w:rPr>
        <w:t>FDA Standard Risk CAS Approval Letter</w:t>
      </w:r>
    </w:p>
    <w:p w14:paraId="75C46673" w14:textId="77777777" w:rsidR="00525032" w:rsidRPr="002D1143" w:rsidRDefault="00525032" w:rsidP="006C254D">
      <w:pPr>
        <w:pStyle w:val="ListParagraph"/>
        <w:spacing w:after="0" w:line="312" w:lineRule="auto"/>
        <w:rPr>
          <w:rFonts w:ascii="Times New Roman" w:hAnsi="Times New Roman"/>
        </w:rPr>
      </w:pPr>
    </w:p>
    <w:p w14:paraId="0A9B3C92" w14:textId="77777777" w:rsidR="00525032" w:rsidRPr="002D1143" w:rsidRDefault="00525032" w:rsidP="006C254D">
      <w:pPr>
        <w:spacing w:after="0" w:line="312" w:lineRule="auto"/>
        <w:rPr>
          <w:rFonts w:ascii="Times New Roman" w:hAnsi="Times New Roman"/>
          <w:color w:val="000000"/>
        </w:rPr>
      </w:pPr>
      <w:r>
        <w:rPr>
          <w:rFonts w:ascii="Times New Roman" w:hAnsi="Times New Roman"/>
          <w:color w:val="000000"/>
        </w:rPr>
        <w:t>The “tools”</w:t>
      </w:r>
      <w:r w:rsidRPr="002D1143">
        <w:rPr>
          <w:rFonts w:ascii="Times New Roman" w:hAnsi="Times New Roman"/>
          <w:color w:val="000000"/>
        </w:rPr>
        <w:t xml:space="preserve"> enclosed in this package will assist you in identifying and providing specific information to private payers </w:t>
      </w:r>
      <w:proofErr w:type="gramStart"/>
      <w:r w:rsidRPr="002D1143">
        <w:rPr>
          <w:rFonts w:ascii="Times New Roman" w:hAnsi="Times New Roman"/>
          <w:color w:val="000000"/>
        </w:rPr>
        <w:t>in order to</w:t>
      </w:r>
      <w:proofErr w:type="gramEnd"/>
      <w:r w:rsidRPr="002D1143">
        <w:rPr>
          <w:rFonts w:ascii="Times New Roman" w:hAnsi="Times New Roman"/>
          <w:color w:val="000000"/>
        </w:rPr>
        <w:t xml:space="preserve"> prior authorize the procedure.  </w:t>
      </w:r>
    </w:p>
    <w:p w14:paraId="006F6B02" w14:textId="77777777" w:rsidR="00C8237C" w:rsidRPr="002D1143" w:rsidRDefault="00C8237C" w:rsidP="006C254D">
      <w:pPr>
        <w:spacing w:after="0" w:line="312" w:lineRule="auto"/>
        <w:rPr>
          <w:rFonts w:ascii="Times New Roman" w:hAnsi="Times New Roman"/>
        </w:rPr>
      </w:pPr>
    </w:p>
    <w:p w14:paraId="4D68E785" w14:textId="77777777" w:rsidR="00525032" w:rsidRPr="002D1143" w:rsidRDefault="00525032" w:rsidP="006C254D">
      <w:pPr>
        <w:spacing w:after="0" w:line="312" w:lineRule="auto"/>
        <w:rPr>
          <w:rFonts w:ascii="Times New Roman" w:hAnsi="Times New Roman"/>
          <w:b/>
        </w:rPr>
      </w:pPr>
      <w:r w:rsidRPr="002D1143">
        <w:rPr>
          <w:rFonts w:ascii="Times New Roman" w:hAnsi="Times New Roman"/>
          <w:b/>
        </w:rPr>
        <w:t>The Prior Authorization Process for Private Payers</w:t>
      </w:r>
    </w:p>
    <w:p w14:paraId="4C86B135" w14:textId="77777777" w:rsidR="00525032" w:rsidRPr="002D1143" w:rsidRDefault="00525032" w:rsidP="006C254D">
      <w:pPr>
        <w:spacing w:after="0" w:line="312" w:lineRule="auto"/>
        <w:rPr>
          <w:rFonts w:ascii="Times New Roman" w:hAnsi="Times New Roman"/>
          <w:b/>
        </w:rPr>
      </w:pPr>
    </w:p>
    <w:p w14:paraId="66492607" w14:textId="77777777" w:rsidR="00525032" w:rsidRDefault="00525032" w:rsidP="006C254D">
      <w:pPr>
        <w:autoSpaceDE w:val="0"/>
        <w:autoSpaceDN w:val="0"/>
        <w:adjustRightInd w:val="0"/>
        <w:spacing w:after="0" w:line="312" w:lineRule="auto"/>
        <w:rPr>
          <w:rFonts w:ascii="Times New Roman" w:hAnsi="Times New Roman"/>
        </w:rPr>
      </w:pPr>
      <w:r w:rsidRPr="002D1143">
        <w:rPr>
          <w:rFonts w:ascii="Times New Roman" w:hAnsi="Times New Roman"/>
          <w:iCs/>
        </w:rPr>
        <w:t>For patients insured by private payers (non-Medicare</w:t>
      </w:r>
      <w:r>
        <w:rPr>
          <w:rFonts w:ascii="Times New Roman" w:hAnsi="Times New Roman"/>
          <w:iCs/>
        </w:rPr>
        <w:t>/Medicaid/other govern</w:t>
      </w:r>
      <w:r w:rsidRPr="002D1143">
        <w:rPr>
          <w:rFonts w:ascii="Times New Roman" w:hAnsi="Times New Roman"/>
          <w:iCs/>
        </w:rPr>
        <w:t>ment patients), co</w:t>
      </w:r>
      <w:r w:rsidRPr="002D1143">
        <w:rPr>
          <w:rFonts w:ascii="Times New Roman" w:hAnsi="Times New Roman"/>
        </w:rPr>
        <w:t>verage for carotid artery stenting can vary by payer.  It is important to note that private payer policies may also vary by patient clinical status (</w:t>
      </w:r>
      <w:proofErr w:type="gramStart"/>
      <w:r w:rsidRPr="002D1143">
        <w:rPr>
          <w:rFonts w:ascii="Times New Roman" w:hAnsi="Times New Roman"/>
        </w:rPr>
        <w:t>i.e.</w:t>
      </w:r>
      <w:proofErr w:type="gramEnd"/>
      <w:r w:rsidRPr="002D1143">
        <w:rPr>
          <w:rFonts w:ascii="Times New Roman" w:hAnsi="Times New Roman"/>
        </w:rPr>
        <w:t xml:space="preserve"> coverage may differ for </w:t>
      </w:r>
      <w:r>
        <w:rPr>
          <w:rFonts w:ascii="Times New Roman" w:hAnsi="Times New Roman"/>
        </w:rPr>
        <w:t xml:space="preserve">high risk or </w:t>
      </w:r>
      <w:r w:rsidRPr="002D1143">
        <w:rPr>
          <w:rFonts w:ascii="Times New Roman" w:hAnsi="Times New Roman"/>
        </w:rPr>
        <w:t>standard risk, symptomatic patients vs. high risk, symptomatic patients).  Please note that while some payers refer to prior authorization as pre-certification, both processes are similar.</w:t>
      </w:r>
    </w:p>
    <w:p w14:paraId="1F44CA57" w14:textId="77777777" w:rsidR="00C8237C" w:rsidRDefault="00C8237C" w:rsidP="006C254D">
      <w:pPr>
        <w:autoSpaceDE w:val="0"/>
        <w:autoSpaceDN w:val="0"/>
        <w:adjustRightInd w:val="0"/>
        <w:spacing w:after="0" w:line="312" w:lineRule="auto"/>
        <w:rPr>
          <w:rFonts w:ascii="Times New Roman" w:hAnsi="Times New Roman"/>
        </w:rPr>
      </w:pPr>
    </w:p>
    <w:p w14:paraId="2D131F62" w14:textId="77777777" w:rsidR="00525032" w:rsidRPr="002D1143" w:rsidRDefault="00525032" w:rsidP="006C254D">
      <w:pPr>
        <w:autoSpaceDE w:val="0"/>
        <w:autoSpaceDN w:val="0"/>
        <w:adjustRightInd w:val="0"/>
        <w:spacing w:after="0" w:line="312" w:lineRule="auto"/>
        <w:rPr>
          <w:rFonts w:ascii="Times New Roman" w:hAnsi="Times New Roman"/>
        </w:rPr>
      </w:pPr>
      <w:r>
        <w:rPr>
          <w:rFonts w:ascii="Times New Roman" w:hAnsi="Times New Roman"/>
          <w:b/>
        </w:rPr>
        <w:t>Submission Process</w:t>
      </w:r>
      <w:r w:rsidRPr="002D1143">
        <w:rPr>
          <w:rFonts w:ascii="Times New Roman" w:hAnsi="Times New Roman"/>
        </w:rPr>
        <w:t xml:space="preserve">  </w:t>
      </w:r>
    </w:p>
    <w:p w14:paraId="51A7B9C8" w14:textId="77777777" w:rsidR="00525032" w:rsidRDefault="00525032" w:rsidP="006C254D">
      <w:pPr>
        <w:autoSpaceDE w:val="0"/>
        <w:autoSpaceDN w:val="0"/>
        <w:adjustRightInd w:val="0"/>
        <w:spacing w:after="0" w:line="312" w:lineRule="auto"/>
        <w:rPr>
          <w:rFonts w:ascii="Times New Roman" w:hAnsi="Times New Roman"/>
        </w:rPr>
      </w:pPr>
    </w:p>
    <w:p w14:paraId="2A8F1CED" w14:textId="77777777" w:rsidR="00525032" w:rsidRDefault="00525032" w:rsidP="006C254D">
      <w:pPr>
        <w:autoSpaceDE w:val="0"/>
        <w:autoSpaceDN w:val="0"/>
        <w:adjustRightInd w:val="0"/>
        <w:spacing w:after="0" w:line="312" w:lineRule="auto"/>
        <w:rPr>
          <w:rFonts w:ascii="Times New Roman" w:hAnsi="Times New Roman"/>
        </w:rPr>
      </w:pPr>
      <w:r>
        <w:rPr>
          <w:rFonts w:ascii="Times New Roman" w:hAnsi="Times New Roman"/>
        </w:rPr>
        <w:t>Following is a checklist reminder of the key steps involved in the process of verifying patient information, health plan benefits and obtaining insurance preauthorization, as required:</w:t>
      </w:r>
    </w:p>
    <w:p w14:paraId="4F557FD2" w14:textId="77777777" w:rsidR="00FC290A" w:rsidRPr="002D1143" w:rsidRDefault="00FC290A" w:rsidP="006C254D">
      <w:pPr>
        <w:autoSpaceDE w:val="0"/>
        <w:autoSpaceDN w:val="0"/>
        <w:adjustRightInd w:val="0"/>
        <w:spacing w:after="0" w:line="312" w:lineRule="auto"/>
        <w:rPr>
          <w:rFonts w:ascii="Times New Roman" w:hAnsi="Times New Roman"/>
        </w:rPr>
      </w:pPr>
    </w:p>
    <w:p w14:paraId="1E157F52" w14:textId="77777777" w:rsidR="00525032" w:rsidRPr="002C1537" w:rsidRDefault="00525032" w:rsidP="00F22CEA">
      <w:pPr>
        <w:numPr>
          <w:ilvl w:val="0"/>
          <w:numId w:val="3"/>
        </w:numPr>
        <w:spacing w:after="0" w:line="312" w:lineRule="auto"/>
        <w:rPr>
          <w:rFonts w:ascii="Times New Roman" w:hAnsi="Times New Roman"/>
          <w:b/>
        </w:rPr>
      </w:pPr>
      <w:r>
        <w:rPr>
          <w:rFonts w:ascii="Times New Roman" w:hAnsi="Times New Roman"/>
          <w:b/>
        </w:rPr>
        <w:lastRenderedPageBreak/>
        <w:t>Obtain</w:t>
      </w:r>
      <w:r w:rsidRPr="002C1537">
        <w:rPr>
          <w:rFonts w:ascii="Times New Roman" w:hAnsi="Times New Roman"/>
          <w:b/>
        </w:rPr>
        <w:t xml:space="preserve"> Information</w:t>
      </w:r>
    </w:p>
    <w:p w14:paraId="39C23313" w14:textId="77777777" w:rsidR="00525032" w:rsidRDefault="00525032">
      <w:pPr>
        <w:numPr>
          <w:ilvl w:val="1"/>
          <w:numId w:val="5"/>
        </w:numPr>
        <w:spacing w:after="0" w:line="312" w:lineRule="auto"/>
        <w:rPr>
          <w:rFonts w:ascii="Times New Roman" w:hAnsi="Times New Roman"/>
        </w:rPr>
      </w:pPr>
      <w:r>
        <w:rPr>
          <w:rFonts w:ascii="Times New Roman" w:hAnsi="Times New Roman"/>
        </w:rPr>
        <w:t xml:space="preserve">Collect patient information including patient consent </w:t>
      </w:r>
      <w:proofErr w:type="gramStart"/>
      <w:r>
        <w:rPr>
          <w:rFonts w:ascii="Times New Roman" w:hAnsi="Times New Roman"/>
        </w:rPr>
        <w:t>release</w:t>
      </w:r>
      <w:proofErr w:type="gramEnd"/>
    </w:p>
    <w:p w14:paraId="6A2E21E9" w14:textId="77777777" w:rsidR="00525032" w:rsidRDefault="00525032">
      <w:pPr>
        <w:numPr>
          <w:ilvl w:val="1"/>
          <w:numId w:val="5"/>
        </w:numPr>
        <w:spacing w:after="0" w:line="312" w:lineRule="auto"/>
        <w:rPr>
          <w:rFonts w:ascii="Times New Roman" w:hAnsi="Times New Roman"/>
        </w:rPr>
      </w:pPr>
      <w:r>
        <w:rPr>
          <w:rFonts w:ascii="Times New Roman" w:hAnsi="Times New Roman"/>
        </w:rPr>
        <w:t>Collect health plan (payer) information (e.g., plan type, insurance number(s), copy of card(s), contact information)</w:t>
      </w:r>
    </w:p>
    <w:p w14:paraId="06D7E8D3" w14:textId="77777777" w:rsidR="00525032" w:rsidRDefault="00525032">
      <w:pPr>
        <w:numPr>
          <w:ilvl w:val="1"/>
          <w:numId w:val="5"/>
        </w:numPr>
        <w:spacing w:after="0" w:line="312" w:lineRule="auto"/>
        <w:rPr>
          <w:rFonts w:ascii="Times New Roman" w:hAnsi="Times New Roman"/>
        </w:rPr>
      </w:pPr>
      <w:r>
        <w:rPr>
          <w:rFonts w:ascii="Times New Roman" w:hAnsi="Times New Roman"/>
        </w:rPr>
        <w:t>Gather patient clinical documentation (e.g., diagnosis code(s), 6-12 months of office notes, H&amp;P, OP report)</w:t>
      </w:r>
    </w:p>
    <w:p w14:paraId="240B9FD3" w14:textId="77777777" w:rsidR="00525032" w:rsidRDefault="00525032">
      <w:pPr>
        <w:numPr>
          <w:ilvl w:val="1"/>
          <w:numId w:val="5"/>
        </w:numPr>
        <w:spacing w:after="0" w:line="312" w:lineRule="auto"/>
        <w:rPr>
          <w:rFonts w:ascii="Times New Roman" w:hAnsi="Times New Roman"/>
        </w:rPr>
      </w:pPr>
      <w:r>
        <w:rPr>
          <w:rFonts w:ascii="Times New Roman" w:hAnsi="Times New Roman"/>
        </w:rPr>
        <w:t xml:space="preserve">Develop letter of medical necessity if </w:t>
      </w:r>
      <w:proofErr w:type="gramStart"/>
      <w:r>
        <w:rPr>
          <w:rFonts w:ascii="Times New Roman" w:hAnsi="Times New Roman"/>
        </w:rPr>
        <w:t>required</w:t>
      </w:r>
      <w:proofErr w:type="gramEnd"/>
    </w:p>
    <w:p w14:paraId="6CFF2BD4" w14:textId="77777777" w:rsidR="00525032" w:rsidRPr="002C1537" w:rsidRDefault="00525032" w:rsidP="00F22CEA">
      <w:pPr>
        <w:numPr>
          <w:ilvl w:val="0"/>
          <w:numId w:val="3"/>
        </w:numPr>
        <w:spacing w:after="0" w:line="312" w:lineRule="auto"/>
        <w:rPr>
          <w:rFonts w:ascii="Times New Roman" w:hAnsi="Times New Roman"/>
          <w:b/>
        </w:rPr>
      </w:pPr>
      <w:r w:rsidRPr="002C1537">
        <w:rPr>
          <w:rFonts w:ascii="Times New Roman" w:hAnsi="Times New Roman"/>
          <w:b/>
        </w:rPr>
        <w:t>Verify Benefits</w:t>
      </w:r>
    </w:p>
    <w:p w14:paraId="14415D7A" w14:textId="77777777" w:rsidR="00525032" w:rsidRDefault="00525032">
      <w:pPr>
        <w:numPr>
          <w:ilvl w:val="1"/>
          <w:numId w:val="7"/>
        </w:numPr>
        <w:spacing w:after="0" w:line="312" w:lineRule="auto"/>
        <w:rPr>
          <w:rFonts w:ascii="Times New Roman" w:hAnsi="Times New Roman"/>
        </w:rPr>
      </w:pPr>
      <w:r>
        <w:rPr>
          <w:rFonts w:ascii="Times New Roman" w:hAnsi="Times New Roman"/>
        </w:rPr>
        <w:t>Contact payer and verify benefits and patient out-of-pocket costs (e.g., co-pay, deductible and out-of-pocket maximum)</w:t>
      </w:r>
    </w:p>
    <w:p w14:paraId="2AABD5BB" w14:textId="77777777" w:rsidR="00525032" w:rsidRDefault="00525032">
      <w:pPr>
        <w:numPr>
          <w:ilvl w:val="1"/>
          <w:numId w:val="7"/>
        </w:numPr>
        <w:spacing w:after="0" w:line="312" w:lineRule="auto"/>
        <w:rPr>
          <w:rFonts w:ascii="Times New Roman" w:hAnsi="Times New Roman"/>
        </w:rPr>
      </w:pPr>
      <w:r>
        <w:rPr>
          <w:rFonts w:ascii="Times New Roman" w:hAnsi="Times New Roman"/>
        </w:rPr>
        <w:t>Verify eligibility</w:t>
      </w:r>
      <w:r w:rsidR="00C62D2F">
        <w:rPr>
          <w:rFonts w:ascii="Times New Roman" w:hAnsi="Times New Roman"/>
        </w:rPr>
        <w:t xml:space="preserve"> and medical policy requirement</w:t>
      </w:r>
      <w:r>
        <w:rPr>
          <w:rFonts w:ascii="Times New Roman" w:hAnsi="Times New Roman"/>
        </w:rPr>
        <w:t xml:space="preserve">s for CAS </w:t>
      </w:r>
      <w:proofErr w:type="gramStart"/>
      <w:r>
        <w:rPr>
          <w:rFonts w:ascii="Times New Roman" w:hAnsi="Times New Roman"/>
        </w:rPr>
        <w:t>procedure</w:t>
      </w:r>
      <w:proofErr w:type="gramEnd"/>
    </w:p>
    <w:p w14:paraId="1D333A8E" w14:textId="77777777" w:rsidR="00525032" w:rsidRDefault="00525032">
      <w:pPr>
        <w:numPr>
          <w:ilvl w:val="1"/>
          <w:numId w:val="7"/>
        </w:numPr>
        <w:spacing w:after="0" w:line="312" w:lineRule="auto"/>
        <w:rPr>
          <w:rFonts w:ascii="Times New Roman" w:hAnsi="Times New Roman"/>
        </w:rPr>
      </w:pPr>
      <w:r>
        <w:rPr>
          <w:rFonts w:ascii="Times New Roman" w:hAnsi="Times New Roman"/>
        </w:rPr>
        <w:t xml:space="preserve">Verify physician and facility network contract status with </w:t>
      </w:r>
      <w:proofErr w:type="gramStart"/>
      <w:r>
        <w:rPr>
          <w:rFonts w:ascii="Times New Roman" w:hAnsi="Times New Roman"/>
        </w:rPr>
        <w:t>payer</w:t>
      </w:r>
      <w:proofErr w:type="gramEnd"/>
    </w:p>
    <w:p w14:paraId="515A2856" w14:textId="77777777" w:rsidR="00525032" w:rsidRDefault="00525032">
      <w:pPr>
        <w:numPr>
          <w:ilvl w:val="1"/>
          <w:numId w:val="7"/>
        </w:numPr>
        <w:spacing w:after="0" w:line="312" w:lineRule="auto"/>
        <w:rPr>
          <w:rFonts w:ascii="Times New Roman" w:hAnsi="Times New Roman"/>
        </w:rPr>
      </w:pPr>
      <w:r>
        <w:rPr>
          <w:rFonts w:ascii="Times New Roman" w:hAnsi="Times New Roman"/>
        </w:rPr>
        <w:t xml:space="preserve">Verify payer requirements for prior authorization </w:t>
      </w:r>
      <w:r w:rsidRPr="002D1143">
        <w:rPr>
          <w:rFonts w:ascii="Times New Roman" w:hAnsi="Times New Roman"/>
        </w:rPr>
        <w:t>(</w:t>
      </w:r>
      <w:r>
        <w:rPr>
          <w:rFonts w:ascii="Times New Roman" w:hAnsi="Times New Roman"/>
        </w:rPr>
        <w:t>many</w:t>
      </w:r>
      <w:r w:rsidRPr="002D1143">
        <w:rPr>
          <w:rFonts w:ascii="Times New Roman" w:hAnsi="Times New Roman"/>
        </w:rPr>
        <w:t xml:space="preserve"> payers today offer prior authorization via</w:t>
      </w:r>
      <w:r>
        <w:rPr>
          <w:rFonts w:ascii="Times New Roman" w:hAnsi="Times New Roman"/>
        </w:rPr>
        <w:t xml:space="preserve"> an internet portal or hotline)</w:t>
      </w:r>
      <w:r w:rsidRPr="002D1143">
        <w:rPr>
          <w:rFonts w:ascii="Times New Roman" w:hAnsi="Times New Roman"/>
        </w:rPr>
        <w:t xml:space="preserve">  </w:t>
      </w:r>
    </w:p>
    <w:p w14:paraId="0ACA416A" w14:textId="77777777" w:rsidR="00525032" w:rsidRPr="002C1537" w:rsidRDefault="00525032" w:rsidP="00F22CEA">
      <w:pPr>
        <w:numPr>
          <w:ilvl w:val="0"/>
          <w:numId w:val="3"/>
        </w:numPr>
        <w:spacing w:after="0" w:line="312" w:lineRule="auto"/>
        <w:rPr>
          <w:rFonts w:ascii="Times New Roman" w:hAnsi="Times New Roman"/>
          <w:b/>
        </w:rPr>
      </w:pPr>
      <w:r w:rsidRPr="002C1537">
        <w:rPr>
          <w:rFonts w:ascii="Times New Roman" w:hAnsi="Times New Roman"/>
          <w:b/>
        </w:rPr>
        <w:t>Submit Request</w:t>
      </w:r>
    </w:p>
    <w:p w14:paraId="0C3C2EA4" w14:textId="77777777" w:rsidR="00525032" w:rsidRDefault="00525032">
      <w:pPr>
        <w:numPr>
          <w:ilvl w:val="1"/>
          <w:numId w:val="9"/>
        </w:numPr>
        <w:spacing w:after="0" w:line="312" w:lineRule="auto"/>
        <w:rPr>
          <w:rFonts w:ascii="Times New Roman" w:hAnsi="Times New Roman"/>
        </w:rPr>
      </w:pPr>
      <w:r>
        <w:rPr>
          <w:rFonts w:ascii="Times New Roman" w:hAnsi="Times New Roman"/>
        </w:rPr>
        <w:t xml:space="preserve">Contact payer to see if they have a required payer submission </w:t>
      </w:r>
      <w:proofErr w:type="gramStart"/>
      <w:r>
        <w:rPr>
          <w:rFonts w:ascii="Times New Roman" w:hAnsi="Times New Roman"/>
        </w:rPr>
        <w:t>form</w:t>
      </w:r>
      <w:proofErr w:type="gramEnd"/>
    </w:p>
    <w:p w14:paraId="7BD606B7" w14:textId="77777777" w:rsidR="00525032" w:rsidRDefault="00525032">
      <w:pPr>
        <w:numPr>
          <w:ilvl w:val="1"/>
          <w:numId w:val="9"/>
        </w:numPr>
        <w:spacing w:after="0" w:line="312" w:lineRule="auto"/>
        <w:rPr>
          <w:rFonts w:ascii="Times New Roman" w:hAnsi="Times New Roman"/>
        </w:rPr>
      </w:pPr>
      <w:r>
        <w:rPr>
          <w:rFonts w:ascii="Times New Roman" w:hAnsi="Times New Roman"/>
        </w:rPr>
        <w:t xml:space="preserve">If not, create an authorization request form describing the procedure and list of appropriate </w:t>
      </w:r>
      <w:proofErr w:type="gramStart"/>
      <w:r>
        <w:rPr>
          <w:rFonts w:ascii="Times New Roman" w:hAnsi="Times New Roman"/>
        </w:rPr>
        <w:t>codes</w:t>
      </w:r>
      <w:proofErr w:type="gramEnd"/>
    </w:p>
    <w:p w14:paraId="5CCCA313" w14:textId="77777777" w:rsidR="00525032" w:rsidRDefault="00525032">
      <w:pPr>
        <w:numPr>
          <w:ilvl w:val="1"/>
          <w:numId w:val="9"/>
        </w:numPr>
        <w:spacing w:after="0" w:line="312" w:lineRule="auto"/>
        <w:rPr>
          <w:rFonts w:ascii="Times New Roman" w:hAnsi="Times New Roman"/>
        </w:rPr>
      </w:pPr>
      <w:r>
        <w:rPr>
          <w:rFonts w:ascii="Times New Roman" w:hAnsi="Times New Roman"/>
        </w:rPr>
        <w:t xml:space="preserve">Attach requested clinical </w:t>
      </w:r>
      <w:proofErr w:type="gramStart"/>
      <w:r>
        <w:rPr>
          <w:rFonts w:ascii="Times New Roman" w:hAnsi="Times New Roman"/>
        </w:rPr>
        <w:t>documentation</w:t>
      </w:r>
      <w:proofErr w:type="gramEnd"/>
    </w:p>
    <w:p w14:paraId="3198EED6" w14:textId="77777777" w:rsidR="00525032" w:rsidRDefault="00525032">
      <w:pPr>
        <w:numPr>
          <w:ilvl w:val="1"/>
          <w:numId w:val="9"/>
        </w:numPr>
        <w:spacing w:after="0" w:line="312" w:lineRule="auto"/>
        <w:rPr>
          <w:rFonts w:ascii="Times New Roman" w:hAnsi="Times New Roman"/>
        </w:rPr>
      </w:pPr>
      <w:r>
        <w:rPr>
          <w:rFonts w:ascii="Times New Roman" w:hAnsi="Times New Roman"/>
        </w:rPr>
        <w:t xml:space="preserve">Submit request and create a follow-up </w:t>
      </w:r>
      <w:proofErr w:type="gramStart"/>
      <w:r>
        <w:rPr>
          <w:rFonts w:ascii="Times New Roman" w:hAnsi="Times New Roman"/>
        </w:rPr>
        <w:t>alert</w:t>
      </w:r>
      <w:proofErr w:type="gramEnd"/>
    </w:p>
    <w:p w14:paraId="530F66E6" w14:textId="77777777" w:rsidR="00525032" w:rsidRPr="002C1537" w:rsidRDefault="00525032" w:rsidP="00F22CEA">
      <w:pPr>
        <w:numPr>
          <w:ilvl w:val="0"/>
          <w:numId w:val="3"/>
        </w:numPr>
        <w:spacing w:after="0" w:line="312" w:lineRule="auto"/>
        <w:rPr>
          <w:rFonts w:ascii="Times New Roman" w:hAnsi="Times New Roman"/>
          <w:b/>
        </w:rPr>
      </w:pPr>
      <w:r w:rsidRPr="002C1537">
        <w:rPr>
          <w:rFonts w:ascii="Times New Roman" w:hAnsi="Times New Roman"/>
          <w:b/>
        </w:rPr>
        <w:t xml:space="preserve">Follow up with </w:t>
      </w:r>
      <w:proofErr w:type="gramStart"/>
      <w:r w:rsidRPr="002C1537">
        <w:rPr>
          <w:rFonts w:ascii="Times New Roman" w:hAnsi="Times New Roman"/>
          <w:b/>
        </w:rPr>
        <w:t>Payer</w:t>
      </w:r>
      <w:proofErr w:type="gramEnd"/>
    </w:p>
    <w:p w14:paraId="10EB799F" w14:textId="77777777" w:rsidR="00525032" w:rsidRDefault="00525032" w:rsidP="00BC3DEE">
      <w:pPr>
        <w:numPr>
          <w:ilvl w:val="1"/>
          <w:numId w:val="3"/>
        </w:numPr>
        <w:spacing w:after="0" w:line="312" w:lineRule="auto"/>
        <w:rPr>
          <w:rFonts w:ascii="Times New Roman" w:hAnsi="Times New Roman"/>
        </w:rPr>
      </w:pPr>
      <w:r>
        <w:rPr>
          <w:rFonts w:ascii="Times New Roman" w:hAnsi="Times New Roman"/>
        </w:rPr>
        <w:t>Routinely follow up with payers</w:t>
      </w:r>
    </w:p>
    <w:p w14:paraId="34A58A1A" w14:textId="77777777" w:rsidR="00525032" w:rsidRDefault="00525032" w:rsidP="00BC3DEE">
      <w:pPr>
        <w:numPr>
          <w:ilvl w:val="1"/>
          <w:numId w:val="3"/>
        </w:numPr>
        <w:spacing w:after="0" w:line="312" w:lineRule="auto"/>
        <w:rPr>
          <w:rFonts w:ascii="Times New Roman" w:hAnsi="Times New Roman"/>
        </w:rPr>
      </w:pPr>
      <w:r>
        <w:rPr>
          <w:rFonts w:ascii="Times New Roman" w:hAnsi="Times New Roman"/>
        </w:rPr>
        <w:t xml:space="preserve">Document your phone calls and interactions with the payer, including date, time, and name of contact </w:t>
      </w:r>
      <w:proofErr w:type="gramStart"/>
      <w:r>
        <w:rPr>
          <w:rFonts w:ascii="Times New Roman" w:hAnsi="Times New Roman"/>
        </w:rPr>
        <w:t>person</w:t>
      </w:r>
      <w:proofErr w:type="gramEnd"/>
    </w:p>
    <w:p w14:paraId="4DAFC9E8" w14:textId="77777777" w:rsidR="00525032" w:rsidRDefault="00525032" w:rsidP="00BC3DEE">
      <w:pPr>
        <w:numPr>
          <w:ilvl w:val="1"/>
          <w:numId w:val="3"/>
        </w:numPr>
        <w:spacing w:after="0" w:line="312" w:lineRule="auto"/>
        <w:rPr>
          <w:rFonts w:ascii="Times New Roman" w:hAnsi="Times New Roman"/>
        </w:rPr>
      </w:pPr>
      <w:r>
        <w:rPr>
          <w:rFonts w:ascii="Times New Roman" w:hAnsi="Times New Roman"/>
        </w:rPr>
        <w:t xml:space="preserve">Obtain reference numbers for your </w:t>
      </w:r>
      <w:proofErr w:type="gramStart"/>
      <w:r>
        <w:rPr>
          <w:rFonts w:ascii="Times New Roman" w:hAnsi="Times New Roman"/>
        </w:rPr>
        <w:t>calls</w:t>
      </w:r>
      <w:proofErr w:type="gramEnd"/>
    </w:p>
    <w:p w14:paraId="6BE1A78A" w14:textId="77777777" w:rsidR="00525032" w:rsidRDefault="00525032" w:rsidP="00BC3DEE">
      <w:pPr>
        <w:numPr>
          <w:ilvl w:val="1"/>
          <w:numId w:val="3"/>
        </w:numPr>
        <w:spacing w:after="0" w:line="312" w:lineRule="auto"/>
        <w:rPr>
          <w:rFonts w:ascii="Times New Roman" w:hAnsi="Times New Roman"/>
        </w:rPr>
      </w:pPr>
      <w:r>
        <w:rPr>
          <w:rFonts w:ascii="Times New Roman" w:hAnsi="Times New Roman"/>
        </w:rPr>
        <w:t xml:space="preserve">Prior authorization approval can generally take between 3-30 days, depending on the </w:t>
      </w:r>
      <w:proofErr w:type="gramStart"/>
      <w:r>
        <w:rPr>
          <w:rFonts w:ascii="Times New Roman" w:hAnsi="Times New Roman"/>
        </w:rPr>
        <w:t>payer</w:t>
      </w:r>
      <w:proofErr w:type="gramEnd"/>
    </w:p>
    <w:p w14:paraId="4AE5464E" w14:textId="77777777" w:rsidR="00525032" w:rsidRDefault="00525032" w:rsidP="00BC3DEE">
      <w:pPr>
        <w:numPr>
          <w:ilvl w:val="1"/>
          <w:numId w:val="3"/>
        </w:numPr>
        <w:spacing w:after="0" w:line="312" w:lineRule="auto"/>
        <w:rPr>
          <w:rFonts w:ascii="Times New Roman" w:hAnsi="Times New Roman"/>
        </w:rPr>
      </w:pPr>
      <w:r>
        <w:rPr>
          <w:rFonts w:ascii="Times New Roman" w:hAnsi="Times New Roman"/>
        </w:rPr>
        <w:t xml:space="preserve">If approved, document approval </w:t>
      </w:r>
      <w:proofErr w:type="gramStart"/>
      <w:r>
        <w:rPr>
          <w:rFonts w:ascii="Times New Roman" w:hAnsi="Times New Roman"/>
        </w:rPr>
        <w:t>number</w:t>
      </w:r>
      <w:proofErr w:type="gramEnd"/>
    </w:p>
    <w:p w14:paraId="58C6EAD6" w14:textId="77777777" w:rsidR="00525032" w:rsidRPr="002C1537" w:rsidRDefault="00525032" w:rsidP="00F22CEA">
      <w:pPr>
        <w:numPr>
          <w:ilvl w:val="0"/>
          <w:numId w:val="3"/>
        </w:numPr>
        <w:spacing w:after="0" w:line="312" w:lineRule="auto"/>
        <w:rPr>
          <w:rFonts w:ascii="Times New Roman" w:hAnsi="Times New Roman"/>
          <w:b/>
        </w:rPr>
      </w:pPr>
      <w:r w:rsidRPr="002C1537">
        <w:rPr>
          <w:rFonts w:ascii="Times New Roman" w:hAnsi="Times New Roman"/>
          <w:b/>
        </w:rPr>
        <w:t xml:space="preserve">Appeal if </w:t>
      </w:r>
      <w:proofErr w:type="gramStart"/>
      <w:r w:rsidRPr="002C1537">
        <w:rPr>
          <w:rFonts w:ascii="Times New Roman" w:hAnsi="Times New Roman"/>
          <w:b/>
        </w:rPr>
        <w:t>Needed</w:t>
      </w:r>
      <w:proofErr w:type="gramEnd"/>
    </w:p>
    <w:p w14:paraId="622BFF0A" w14:textId="77777777" w:rsidR="00525032" w:rsidRDefault="00525032">
      <w:pPr>
        <w:numPr>
          <w:ilvl w:val="1"/>
          <w:numId w:val="11"/>
        </w:numPr>
        <w:spacing w:after="0" w:line="312" w:lineRule="auto"/>
        <w:rPr>
          <w:rFonts w:ascii="Times New Roman" w:hAnsi="Times New Roman"/>
        </w:rPr>
      </w:pPr>
      <w:r>
        <w:rPr>
          <w:rFonts w:ascii="Times New Roman" w:hAnsi="Times New Roman"/>
        </w:rPr>
        <w:t xml:space="preserve">Make sure the physician and patient want to appeal the </w:t>
      </w:r>
      <w:proofErr w:type="gramStart"/>
      <w:r>
        <w:rPr>
          <w:rFonts w:ascii="Times New Roman" w:hAnsi="Times New Roman"/>
        </w:rPr>
        <w:t>denial</w:t>
      </w:r>
      <w:proofErr w:type="gramEnd"/>
    </w:p>
    <w:p w14:paraId="4CE400AB" w14:textId="77777777" w:rsidR="00525032" w:rsidRDefault="00525032">
      <w:pPr>
        <w:numPr>
          <w:ilvl w:val="1"/>
          <w:numId w:val="11"/>
        </w:numPr>
        <w:spacing w:after="0" w:line="312" w:lineRule="auto"/>
        <w:rPr>
          <w:rFonts w:ascii="Times New Roman" w:hAnsi="Times New Roman"/>
        </w:rPr>
      </w:pPr>
      <w:r>
        <w:rPr>
          <w:rFonts w:ascii="Times New Roman" w:hAnsi="Times New Roman"/>
        </w:rPr>
        <w:t xml:space="preserve">If an appeal is required, contact the payer to determine their appeal </w:t>
      </w:r>
      <w:proofErr w:type="gramStart"/>
      <w:r>
        <w:rPr>
          <w:rFonts w:ascii="Times New Roman" w:hAnsi="Times New Roman"/>
        </w:rPr>
        <w:t>process</w:t>
      </w:r>
      <w:proofErr w:type="gramEnd"/>
    </w:p>
    <w:p w14:paraId="61FA7863" w14:textId="77777777" w:rsidR="00525032" w:rsidRDefault="00525032">
      <w:pPr>
        <w:numPr>
          <w:ilvl w:val="1"/>
          <w:numId w:val="11"/>
        </w:numPr>
        <w:spacing w:after="0" w:line="312" w:lineRule="auto"/>
        <w:rPr>
          <w:rFonts w:ascii="Times New Roman" w:hAnsi="Times New Roman"/>
        </w:rPr>
      </w:pPr>
      <w:r>
        <w:rPr>
          <w:rFonts w:ascii="Times New Roman" w:hAnsi="Times New Roman"/>
        </w:rPr>
        <w:t xml:space="preserve">Attach requested documentation to appeal form and </w:t>
      </w:r>
      <w:proofErr w:type="gramStart"/>
      <w:r>
        <w:rPr>
          <w:rFonts w:ascii="Times New Roman" w:hAnsi="Times New Roman"/>
        </w:rPr>
        <w:t>submit</w:t>
      </w:r>
      <w:proofErr w:type="gramEnd"/>
    </w:p>
    <w:p w14:paraId="60E946C1" w14:textId="77777777" w:rsidR="00525032" w:rsidRDefault="00525032">
      <w:pPr>
        <w:numPr>
          <w:ilvl w:val="1"/>
          <w:numId w:val="11"/>
        </w:numPr>
        <w:spacing w:after="0" w:line="312" w:lineRule="auto"/>
        <w:rPr>
          <w:rFonts w:ascii="Times New Roman" w:hAnsi="Times New Roman"/>
        </w:rPr>
      </w:pPr>
      <w:r>
        <w:rPr>
          <w:rFonts w:ascii="Times New Roman" w:hAnsi="Times New Roman"/>
        </w:rPr>
        <w:t xml:space="preserve">Follow up with payer for final prior authorization </w:t>
      </w:r>
      <w:proofErr w:type="gramStart"/>
      <w:r>
        <w:rPr>
          <w:rFonts w:ascii="Times New Roman" w:hAnsi="Times New Roman"/>
        </w:rPr>
        <w:t>decision</w:t>
      </w:r>
      <w:proofErr w:type="gramEnd"/>
    </w:p>
    <w:p w14:paraId="704C3D51" w14:textId="77777777" w:rsidR="00525032" w:rsidRDefault="00525032" w:rsidP="006C254D">
      <w:pPr>
        <w:spacing w:after="0" w:line="312" w:lineRule="auto"/>
        <w:rPr>
          <w:rFonts w:ascii="Times New Roman" w:hAnsi="Times New Roman"/>
        </w:rPr>
      </w:pPr>
    </w:p>
    <w:p w14:paraId="37D93926" w14:textId="77777777" w:rsidR="00525032" w:rsidRPr="002D1143" w:rsidRDefault="00525032" w:rsidP="006C254D">
      <w:pPr>
        <w:spacing w:after="0" w:line="312" w:lineRule="auto"/>
        <w:rPr>
          <w:rFonts w:ascii="Times New Roman" w:hAnsi="Times New Roman"/>
          <w:b/>
        </w:rPr>
      </w:pPr>
      <w:r w:rsidRPr="002D1143">
        <w:rPr>
          <w:rFonts w:ascii="Times New Roman" w:hAnsi="Times New Roman"/>
          <w:b/>
        </w:rPr>
        <w:t xml:space="preserve">Additional Coverage Support </w:t>
      </w:r>
    </w:p>
    <w:p w14:paraId="23722FDD" w14:textId="77777777" w:rsidR="00525032" w:rsidRPr="002D1143" w:rsidRDefault="00525032" w:rsidP="006C254D">
      <w:pPr>
        <w:spacing w:after="0" w:line="312" w:lineRule="auto"/>
        <w:rPr>
          <w:rFonts w:ascii="Times New Roman" w:hAnsi="Times New Roman"/>
        </w:rPr>
      </w:pPr>
    </w:p>
    <w:p w14:paraId="6EA2E894" w14:textId="77777777" w:rsidR="00077C66" w:rsidRDefault="00525032" w:rsidP="006C254D">
      <w:pPr>
        <w:spacing w:after="0" w:line="312" w:lineRule="auto"/>
        <w:rPr>
          <w:rFonts w:ascii="Times New Roman" w:hAnsi="Times New Roman"/>
        </w:rPr>
      </w:pPr>
      <w:r w:rsidRPr="002D1143">
        <w:rPr>
          <w:rFonts w:ascii="Times New Roman" w:hAnsi="Times New Roman"/>
        </w:rPr>
        <w:t>Should your office need any additional reimbursement support materials or have any questions pertaining to the prior authorization process for carotid st</w:t>
      </w:r>
      <w:r w:rsidR="007E01E4">
        <w:rPr>
          <w:rFonts w:ascii="Times New Roman" w:hAnsi="Times New Roman"/>
        </w:rPr>
        <w:t>enting patients, please contact the Abbott Vascular Reimbursement Hotline at</w:t>
      </w:r>
      <w:r w:rsidRPr="002D1143">
        <w:rPr>
          <w:rFonts w:ascii="Times New Roman" w:hAnsi="Times New Roman"/>
        </w:rPr>
        <w:t xml:space="preserve"> </w:t>
      </w:r>
    </w:p>
    <w:p w14:paraId="7AC177EA" w14:textId="77777777" w:rsidR="00525032" w:rsidRPr="002D1143" w:rsidRDefault="007E01E4" w:rsidP="006C254D">
      <w:pPr>
        <w:spacing w:after="0" w:line="312" w:lineRule="auto"/>
        <w:rPr>
          <w:rFonts w:ascii="Times New Roman" w:hAnsi="Times New Roman"/>
        </w:rPr>
      </w:pPr>
      <w:r>
        <w:rPr>
          <w:rFonts w:ascii="Times New Roman" w:hAnsi="Times New Roman"/>
        </w:rPr>
        <w:t>8</w:t>
      </w:r>
      <w:r w:rsidR="002E5A1A">
        <w:rPr>
          <w:rFonts w:ascii="Times New Roman" w:hAnsi="Times New Roman"/>
        </w:rPr>
        <w:t>55</w:t>
      </w:r>
      <w:r>
        <w:rPr>
          <w:rFonts w:ascii="Times New Roman" w:hAnsi="Times New Roman"/>
        </w:rPr>
        <w:t>-</w:t>
      </w:r>
      <w:r w:rsidR="002E5A1A">
        <w:rPr>
          <w:rFonts w:ascii="Times New Roman" w:hAnsi="Times New Roman"/>
        </w:rPr>
        <w:t>569</w:t>
      </w:r>
      <w:r>
        <w:rPr>
          <w:rFonts w:ascii="Times New Roman" w:hAnsi="Times New Roman"/>
        </w:rPr>
        <w:t>-</w:t>
      </w:r>
      <w:r w:rsidR="002E5A1A">
        <w:rPr>
          <w:rFonts w:ascii="Times New Roman" w:hAnsi="Times New Roman"/>
        </w:rPr>
        <w:t>6430</w:t>
      </w:r>
      <w:r>
        <w:rPr>
          <w:rFonts w:ascii="Times New Roman" w:hAnsi="Times New Roman"/>
        </w:rPr>
        <w:t xml:space="preserve"> or </w:t>
      </w:r>
      <w:hyperlink r:id="rId12" w:history="1">
        <w:r w:rsidR="002E5A1A" w:rsidRPr="00721112">
          <w:rPr>
            <w:rStyle w:val="Hyperlink"/>
            <w:rFonts w:ascii="Times New Roman" w:hAnsi="Times New Roman"/>
          </w:rPr>
          <w:t>HCE@Abbott.com</w:t>
        </w:r>
      </w:hyperlink>
      <w:r w:rsidR="002E5A1A">
        <w:rPr>
          <w:rFonts w:ascii="Times New Roman" w:hAnsi="Times New Roman"/>
        </w:rPr>
        <w:t>.</w:t>
      </w:r>
    </w:p>
    <w:p w14:paraId="6B22397A" w14:textId="77777777" w:rsidR="00FC290A" w:rsidRDefault="00FC290A" w:rsidP="000D0A62">
      <w:pPr>
        <w:rPr>
          <w:rFonts w:ascii="Times New Roman" w:hAnsi="Times New Roman"/>
        </w:rPr>
      </w:pPr>
    </w:p>
    <w:p w14:paraId="1B03E5B3" w14:textId="77777777" w:rsidR="00FC290A" w:rsidRDefault="00FC290A" w:rsidP="000D0A62">
      <w:pPr>
        <w:rPr>
          <w:rFonts w:ascii="Times New Roman" w:hAnsi="Times New Roman"/>
        </w:rPr>
      </w:pPr>
    </w:p>
    <w:p w14:paraId="7F8FB88C" w14:textId="77777777" w:rsidR="00FC290A" w:rsidRDefault="00FC290A" w:rsidP="000D0A62">
      <w:pPr>
        <w:rPr>
          <w:rFonts w:ascii="Times New Roman" w:hAnsi="Times New Roman"/>
        </w:rPr>
      </w:pPr>
    </w:p>
    <w:p w14:paraId="47A7DFB9" w14:textId="77777777" w:rsidR="00FC290A" w:rsidRDefault="00FC290A" w:rsidP="000D0A62">
      <w:pPr>
        <w:rPr>
          <w:rFonts w:ascii="Times New Roman" w:hAnsi="Times New Roman"/>
        </w:rPr>
      </w:pPr>
    </w:p>
    <w:p w14:paraId="0E3EA8A2" w14:textId="77777777" w:rsidR="00525032" w:rsidRPr="00FC290A" w:rsidRDefault="005415C3" w:rsidP="000D0A62">
      <w:pPr>
        <w:rPr>
          <w:rFonts w:ascii="Times New Roman" w:hAnsi="Times New Roman"/>
          <w:b/>
        </w:rPr>
      </w:pPr>
      <w:r w:rsidRPr="00FC290A">
        <w:rPr>
          <w:rFonts w:ascii="Times New Roman" w:hAnsi="Times New Roman"/>
          <w:b/>
        </w:rPr>
        <w:t>Disclaimer</w:t>
      </w:r>
    </w:p>
    <w:p w14:paraId="14D7FBF6" w14:textId="77777777" w:rsidR="005415C3" w:rsidRPr="005415C3" w:rsidRDefault="005415C3" w:rsidP="005415C3">
      <w:pPr>
        <w:rPr>
          <w:rFonts w:ascii="Times New Roman" w:hAnsi="Times New Roman"/>
        </w:rPr>
      </w:pPr>
      <w:r w:rsidRPr="005415C3">
        <w:rPr>
          <w:rFonts w:ascii="Times New Roman" w:hAnsi="Times New Roman"/>
        </w:rPr>
        <w:t xml:space="preserve">This document and the information contained herein </w:t>
      </w:r>
      <w:proofErr w:type="gramStart"/>
      <w:r w:rsidRPr="005415C3">
        <w:rPr>
          <w:rFonts w:ascii="Times New Roman" w:hAnsi="Times New Roman"/>
        </w:rPr>
        <w:t>is</w:t>
      </w:r>
      <w:proofErr w:type="gramEnd"/>
      <w:r w:rsidRPr="005415C3">
        <w:rPr>
          <w:rFonts w:ascii="Times New Roman" w:hAnsi="Times New Roman"/>
        </w:rPr>
        <w:t xml:space="preserve">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Similarly, nothing in this document should be viewed as instructions for selecting any </w:t>
      </w:r>
      <w:proofErr w:type="gramStart"/>
      <w:r w:rsidRPr="005415C3">
        <w:rPr>
          <w:rFonts w:ascii="Times New Roman" w:hAnsi="Times New Roman"/>
        </w:rPr>
        <w:t>particular code</w:t>
      </w:r>
      <w:proofErr w:type="gramEnd"/>
      <w:r w:rsidRPr="005415C3">
        <w:rPr>
          <w:rFonts w:ascii="Times New Roman" w:hAnsi="Times New Roman"/>
        </w:rPr>
        <w:t xml:space="preserve">,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therefore, the customer should check with its local carriers or intermediaries often and should consult with legal counsel or a financial, coding, or reimbursement specialist for any questions related to coding, billing, </w:t>
      </w:r>
      <w:proofErr w:type="gramStart"/>
      <w:r w:rsidRPr="005415C3">
        <w:rPr>
          <w:rFonts w:ascii="Times New Roman" w:hAnsi="Times New Roman"/>
        </w:rPr>
        <w:t>reimbursement</w:t>
      </w:r>
      <w:proofErr w:type="gramEnd"/>
      <w:r w:rsidRPr="005415C3">
        <w:rPr>
          <w:rFonts w:ascii="Times New Roman" w:hAnsi="Times New Roman"/>
        </w:rPr>
        <w:t xml:space="preserve"> or any related issues. This </w:t>
      </w:r>
      <w:r w:rsidR="00077C66">
        <w:rPr>
          <w:rFonts w:ascii="Times New Roman" w:hAnsi="Times New Roman"/>
        </w:rPr>
        <w:t>material</w:t>
      </w:r>
      <w:r w:rsidRPr="005415C3">
        <w:rPr>
          <w:rFonts w:ascii="Times New Roman" w:hAnsi="Times New Roman"/>
        </w:rPr>
        <w:t xml:space="preserve"> reproduces information for reference purposes only. It is not provided or authorized for marketing use.</w:t>
      </w:r>
    </w:p>
    <w:p w14:paraId="3CE9CD2E" w14:textId="77777777" w:rsidR="005415C3" w:rsidRPr="000C1AA5" w:rsidRDefault="00A07906" w:rsidP="000D0A62">
      <w:pPr>
        <w:rPr>
          <w:rFonts w:ascii="Times New Roman" w:hAnsi="Times New Roman"/>
        </w:rPr>
      </w:pPr>
      <w:r>
        <w:rPr>
          <w:rFonts w:ascii="Times New Roman" w:hAnsi="Times New Roman"/>
          <w:noProof/>
        </w:rPr>
        <w:pict w14:anchorId="431C4601">
          <v:shapetype id="_x0000_t202" coordsize="21600,21600" o:spt="202" path="m,l,21600r21600,l21600,xe">
            <v:stroke joinstyle="miter"/>
            <v:path gradientshapeok="t" o:connecttype="rect"/>
          </v:shapetype>
          <v:shape id="_x0000_s2053" type="#_x0000_t202" style="position:absolute;margin-left:-.15pt;margin-top:342.7pt;width:365.4pt;height:120.05pt;z-index:2" stroked="f">
            <v:textbox>
              <w:txbxContent>
                <w:p w14:paraId="3B6282D3" w14:textId="77777777" w:rsidR="000C1AA5" w:rsidRPr="000C1AA5" w:rsidRDefault="000C1AA5" w:rsidP="000C1AA5">
                  <w:pPr>
                    <w:spacing w:after="0" w:line="240" w:lineRule="auto"/>
                    <w:rPr>
                      <w:b/>
                      <w:sz w:val="18"/>
                      <w:szCs w:val="18"/>
                    </w:rPr>
                  </w:pPr>
                  <w:r w:rsidRPr="000C1AA5">
                    <w:rPr>
                      <w:b/>
                      <w:sz w:val="18"/>
                      <w:szCs w:val="18"/>
                    </w:rPr>
                    <w:t>Abbott</w:t>
                  </w:r>
                </w:p>
                <w:p w14:paraId="4D41BDA8" w14:textId="77777777" w:rsidR="000C1AA5" w:rsidRDefault="000C1AA5" w:rsidP="000C1AA5">
                  <w:pPr>
                    <w:spacing w:after="0" w:line="240" w:lineRule="auto"/>
                    <w:rPr>
                      <w:sz w:val="18"/>
                      <w:szCs w:val="18"/>
                    </w:rPr>
                  </w:pPr>
                  <w:r w:rsidRPr="000C1AA5">
                    <w:rPr>
                      <w:sz w:val="18"/>
                      <w:szCs w:val="18"/>
                    </w:rPr>
                    <w:t>3200 Lakeside Dr., Santa Clara, CA 95054 USA, Tel: 1 800 227 9902</w:t>
                  </w:r>
                </w:p>
                <w:p w14:paraId="6E15AA2C" w14:textId="77777777" w:rsidR="00A07906" w:rsidRPr="000C1AA5" w:rsidRDefault="00A07906" w:rsidP="000C1AA5">
                  <w:pPr>
                    <w:spacing w:after="0" w:line="240" w:lineRule="auto"/>
                    <w:rPr>
                      <w:sz w:val="18"/>
                      <w:szCs w:val="18"/>
                    </w:rPr>
                  </w:pPr>
                </w:p>
                <w:p w14:paraId="502E5983" w14:textId="77777777" w:rsidR="000C1AA5" w:rsidRDefault="000C1AA5" w:rsidP="000C1AA5">
                  <w:pPr>
                    <w:spacing w:after="0" w:line="240" w:lineRule="auto"/>
                    <w:rPr>
                      <w:sz w:val="18"/>
                      <w:szCs w:val="18"/>
                    </w:rPr>
                  </w:pPr>
                  <w:r w:rsidRPr="000C1AA5">
                    <w:rPr>
                      <w:sz w:val="18"/>
                      <w:szCs w:val="18"/>
                    </w:rPr>
                    <w:t>™ Indicates a trademark of the Abbott group of companies.</w:t>
                  </w:r>
                </w:p>
                <w:p w14:paraId="1D2CD66D" w14:textId="77777777" w:rsidR="00A07906" w:rsidRPr="000C1AA5" w:rsidRDefault="00A07906" w:rsidP="000C1AA5">
                  <w:pPr>
                    <w:spacing w:after="0" w:line="240" w:lineRule="auto"/>
                    <w:rPr>
                      <w:sz w:val="18"/>
                      <w:szCs w:val="18"/>
                    </w:rPr>
                  </w:pPr>
                </w:p>
                <w:p w14:paraId="5C2AD349" w14:textId="77777777" w:rsidR="00A07906" w:rsidRDefault="00A07906" w:rsidP="00A07906">
                  <w:pPr>
                    <w:spacing w:after="0" w:line="240" w:lineRule="auto"/>
                    <w:rPr>
                      <w:sz w:val="18"/>
                      <w:szCs w:val="18"/>
                    </w:rPr>
                  </w:pPr>
                  <w:hyperlink r:id="rId13" w:history="1">
                    <w:r w:rsidRPr="009F7CD4">
                      <w:rPr>
                        <w:rStyle w:val="Hyperlink"/>
                        <w:sz w:val="18"/>
                        <w:szCs w:val="18"/>
                      </w:rPr>
                      <w:t>www.cardiovascular.abbott</w:t>
                    </w:r>
                  </w:hyperlink>
                </w:p>
                <w:p w14:paraId="71F8807E" w14:textId="77777777" w:rsidR="00A07906" w:rsidRPr="000C1AA5" w:rsidRDefault="00A07906" w:rsidP="00A07906">
                  <w:pPr>
                    <w:spacing w:after="0" w:line="240" w:lineRule="auto"/>
                    <w:rPr>
                      <w:sz w:val="18"/>
                      <w:szCs w:val="18"/>
                    </w:rPr>
                  </w:pPr>
                </w:p>
                <w:p w14:paraId="65664DF8" w14:textId="77777777" w:rsidR="000C1AA5" w:rsidRPr="000C1AA5" w:rsidRDefault="000C1AA5" w:rsidP="000C1AA5">
                  <w:pPr>
                    <w:spacing w:after="0" w:line="240" w:lineRule="auto"/>
                    <w:rPr>
                      <w:sz w:val="18"/>
                      <w:szCs w:val="18"/>
                    </w:rPr>
                  </w:pPr>
                  <w:r w:rsidRPr="000C1AA5">
                    <w:rPr>
                      <w:sz w:val="18"/>
                      <w:szCs w:val="18"/>
                    </w:rPr>
                    <w:t>©202</w:t>
                  </w:r>
                  <w:r w:rsidR="002E5A1A">
                    <w:rPr>
                      <w:sz w:val="18"/>
                      <w:szCs w:val="18"/>
                    </w:rPr>
                    <w:t>2</w:t>
                  </w:r>
                  <w:r w:rsidRPr="000C1AA5">
                    <w:rPr>
                      <w:sz w:val="18"/>
                      <w:szCs w:val="18"/>
                    </w:rPr>
                    <w:t xml:space="preserve"> Abbott. All </w:t>
                  </w:r>
                  <w:r w:rsidR="00A549FD">
                    <w:rPr>
                      <w:sz w:val="18"/>
                      <w:szCs w:val="18"/>
                    </w:rPr>
                    <w:t>r</w:t>
                  </w:r>
                  <w:r w:rsidRPr="000C1AA5">
                    <w:rPr>
                      <w:sz w:val="18"/>
                      <w:szCs w:val="18"/>
                    </w:rPr>
                    <w:t xml:space="preserve">ights </w:t>
                  </w:r>
                  <w:r w:rsidR="00A549FD">
                    <w:rPr>
                      <w:sz w:val="18"/>
                      <w:szCs w:val="18"/>
                    </w:rPr>
                    <w:t>r</w:t>
                  </w:r>
                  <w:r w:rsidRPr="000C1AA5">
                    <w:rPr>
                      <w:sz w:val="18"/>
                      <w:szCs w:val="18"/>
                    </w:rPr>
                    <w:t>eserved.</w:t>
                  </w:r>
                  <w:r w:rsidR="00A07906">
                    <w:rPr>
                      <w:sz w:val="18"/>
                      <w:szCs w:val="18"/>
                    </w:rPr>
                    <w:t xml:space="preserve"> </w:t>
                  </w:r>
                  <w:r w:rsidRPr="000C1AA5">
                    <w:rPr>
                      <w:sz w:val="18"/>
                      <w:szCs w:val="18"/>
                    </w:rPr>
                    <w:t>MAT-200</w:t>
                  </w:r>
                  <w:r w:rsidR="000A4CD3">
                    <w:rPr>
                      <w:sz w:val="18"/>
                      <w:szCs w:val="18"/>
                    </w:rPr>
                    <w:t>7517</w:t>
                  </w:r>
                  <w:r w:rsidRPr="000C1AA5">
                    <w:rPr>
                      <w:sz w:val="18"/>
                      <w:szCs w:val="18"/>
                    </w:rPr>
                    <w:t xml:space="preserve"> v</w:t>
                  </w:r>
                  <w:r w:rsidR="002E5A1A">
                    <w:rPr>
                      <w:sz w:val="18"/>
                      <w:szCs w:val="18"/>
                    </w:rPr>
                    <w:t>3</w:t>
                  </w:r>
                  <w:r w:rsidRPr="000C1AA5">
                    <w:rPr>
                      <w:sz w:val="18"/>
                      <w:szCs w:val="18"/>
                    </w:rPr>
                    <w:t>.0 | Item approved for U.S. use only.</w:t>
                  </w:r>
                </w:p>
                <w:p w14:paraId="20CA0806" w14:textId="77777777" w:rsidR="00077C66" w:rsidRDefault="00077C66" w:rsidP="000C1AA5">
                  <w:pPr>
                    <w:spacing w:after="0" w:line="240" w:lineRule="auto"/>
                    <w:rPr>
                      <w:sz w:val="18"/>
                      <w:szCs w:val="18"/>
                    </w:rPr>
                  </w:pPr>
                </w:p>
                <w:p w14:paraId="01A29B5C" w14:textId="77777777" w:rsidR="000C1AA5" w:rsidRPr="000C1AA5" w:rsidRDefault="000C1AA5" w:rsidP="000C1AA5">
                  <w:pPr>
                    <w:spacing w:after="0" w:line="240" w:lineRule="auto"/>
                    <w:rPr>
                      <w:sz w:val="18"/>
                      <w:szCs w:val="18"/>
                    </w:rPr>
                  </w:pPr>
                  <w:r w:rsidRPr="000C1AA5">
                    <w:rPr>
                      <w:sz w:val="18"/>
                      <w:szCs w:val="18"/>
                    </w:rPr>
                    <w:t>HE&amp;R approved for non-promotional use.</w:t>
                  </w:r>
                </w:p>
              </w:txbxContent>
            </v:textbox>
          </v:shape>
        </w:pict>
      </w:r>
    </w:p>
    <w:sectPr w:rsidR="005415C3" w:rsidRPr="000C1AA5" w:rsidSect="00FC290A">
      <w:footerReference w:type="even" r:id="rId14"/>
      <w:footerReference w:type="default" r:id="rId15"/>
      <w:pgSz w:w="12240" w:h="15840"/>
      <w:pgMar w:top="720" w:right="720" w:bottom="1170" w:left="720" w:header="720" w:footer="2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BD6A" w14:textId="77777777" w:rsidR="004B62EE" w:rsidRDefault="004B62EE">
      <w:r>
        <w:separator/>
      </w:r>
    </w:p>
  </w:endnote>
  <w:endnote w:type="continuationSeparator" w:id="0">
    <w:p w14:paraId="0E803CA1" w14:textId="77777777" w:rsidR="004B62EE" w:rsidRDefault="004B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560C" w14:textId="77777777" w:rsidR="00525032" w:rsidRDefault="00525032" w:rsidP="00FA08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D0C5EE" w14:textId="77777777" w:rsidR="00525032" w:rsidRDefault="00525032" w:rsidP="000722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4416" w14:textId="77777777" w:rsidR="00A07906" w:rsidRPr="00A07906" w:rsidRDefault="00A07906" w:rsidP="00091624">
    <w:pPr>
      <w:pStyle w:val="Footer"/>
      <w:tabs>
        <w:tab w:val="clear" w:pos="8640"/>
        <w:tab w:val="left" w:pos="180"/>
      </w:tabs>
      <w:rPr>
        <w:rFonts w:ascii="Georgia" w:hAnsi="Georgia"/>
        <w:sz w:val="16"/>
        <w:szCs w:val="16"/>
      </w:rPr>
    </w:pPr>
    <w:r w:rsidRPr="00A07906">
      <w:rPr>
        <w:rFonts w:ascii="Georgia" w:hAnsi="Georgia"/>
        <w:sz w:val="16"/>
        <w:szCs w:val="16"/>
      </w:rPr>
      <w:t>MAT-200</w:t>
    </w:r>
    <w:r w:rsidR="00A41B8E">
      <w:rPr>
        <w:rFonts w:ascii="Georgia" w:hAnsi="Georgia"/>
        <w:sz w:val="16"/>
        <w:szCs w:val="16"/>
      </w:rPr>
      <w:t>7517</w:t>
    </w:r>
    <w:r w:rsidRPr="00A07906">
      <w:rPr>
        <w:rFonts w:ascii="Georgia" w:hAnsi="Georgia"/>
        <w:sz w:val="16"/>
        <w:szCs w:val="16"/>
      </w:rPr>
      <w:t xml:space="preserve"> v</w:t>
    </w:r>
    <w:r w:rsidR="002E5A1A">
      <w:rPr>
        <w:rFonts w:ascii="Georgia" w:hAnsi="Georgia"/>
        <w:sz w:val="16"/>
        <w:szCs w:val="16"/>
      </w:rPr>
      <w:t>3</w:t>
    </w:r>
    <w:r w:rsidRPr="00A07906">
      <w:rPr>
        <w:rFonts w:ascii="Georgia" w:hAnsi="Georgia"/>
        <w:sz w:val="16"/>
        <w:szCs w:val="16"/>
      </w:rPr>
      <w:t>.0</w:t>
    </w:r>
    <w:r w:rsidR="00A41B8E">
      <w:rPr>
        <w:rFonts w:ascii="Georgia" w:hAnsi="Georgia"/>
        <w:sz w:val="16"/>
        <w:szCs w:val="16"/>
      </w:rPr>
      <w:t xml:space="preserve"> | Information contained herein for </w:t>
    </w:r>
    <w:r w:rsidR="00077C66">
      <w:rPr>
        <w:rFonts w:ascii="Georgia" w:hAnsi="Georgia"/>
        <w:sz w:val="16"/>
        <w:szCs w:val="16"/>
      </w:rPr>
      <w:t>DISTRIBUTION</w:t>
    </w:r>
    <w:r w:rsidR="00A41B8E">
      <w:rPr>
        <w:rFonts w:ascii="Georgia" w:hAnsi="Georgia"/>
        <w:sz w:val="16"/>
        <w:szCs w:val="16"/>
      </w:rPr>
      <w:t xml:space="preserve"> in U.S. only.</w:t>
    </w:r>
    <w:r w:rsidRPr="00A07906">
      <w:rPr>
        <w:rFonts w:ascii="Georgia" w:hAnsi="Georgia"/>
        <w:sz w:val="16"/>
        <w:szCs w:val="16"/>
      </w:rPr>
      <w:tab/>
    </w:r>
    <w:r w:rsidR="00091624">
      <w:rPr>
        <w:rFonts w:ascii="Georgia" w:hAnsi="Georgia"/>
        <w:sz w:val="16"/>
        <w:szCs w:val="16"/>
      </w:rPr>
      <w:tab/>
    </w:r>
    <w:r w:rsidR="00091624">
      <w:rPr>
        <w:rFonts w:ascii="Georgia" w:hAnsi="Georgia"/>
        <w:sz w:val="16"/>
        <w:szCs w:val="16"/>
      </w:rPr>
      <w:tab/>
    </w:r>
    <w:r w:rsidR="00091624">
      <w:rPr>
        <w:rFonts w:ascii="Georgia" w:hAnsi="Georgia"/>
        <w:sz w:val="16"/>
        <w:szCs w:val="16"/>
      </w:rPr>
      <w:tab/>
    </w:r>
    <w:r w:rsidR="00091624">
      <w:rPr>
        <w:rFonts w:ascii="Georgia" w:hAnsi="Georgia"/>
        <w:sz w:val="16"/>
        <w:szCs w:val="16"/>
      </w:rPr>
      <w:tab/>
    </w:r>
    <w:r w:rsidRPr="00A07906">
      <w:rPr>
        <w:rFonts w:ascii="Georgia" w:hAnsi="Georgia"/>
        <w:sz w:val="16"/>
        <w:szCs w:val="16"/>
      </w:rPr>
      <w:t xml:space="preserve">Page </w:t>
    </w:r>
    <w:r w:rsidRPr="00A07906">
      <w:rPr>
        <w:rFonts w:ascii="Georgia" w:hAnsi="Georgia"/>
        <w:bCs/>
        <w:sz w:val="16"/>
        <w:szCs w:val="16"/>
      </w:rPr>
      <w:fldChar w:fldCharType="begin"/>
    </w:r>
    <w:r w:rsidRPr="00A07906">
      <w:rPr>
        <w:rFonts w:ascii="Georgia" w:hAnsi="Georgia"/>
        <w:bCs/>
        <w:sz w:val="16"/>
        <w:szCs w:val="16"/>
      </w:rPr>
      <w:instrText xml:space="preserve"> PAGE </w:instrText>
    </w:r>
    <w:r w:rsidRPr="00A07906">
      <w:rPr>
        <w:rFonts w:ascii="Georgia" w:hAnsi="Georgia"/>
        <w:bCs/>
        <w:sz w:val="16"/>
        <w:szCs w:val="16"/>
      </w:rPr>
      <w:fldChar w:fldCharType="separate"/>
    </w:r>
    <w:r w:rsidRPr="00A07906">
      <w:rPr>
        <w:rFonts w:ascii="Georgia" w:hAnsi="Georgia"/>
        <w:bCs/>
        <w:noProof/>
        <w:sz w:val="16"/>
        <w:szCs w:val="16"/>
      </w:rPr>
      <w:t>2</w:t>
    </w:r>
    <w:r w:rsidRPr="00A07906">
      <w:rPr>
        <w:rFonts w:ascii="Georgia" w:hAnsi="Georgia"/>
        <w:bCs/>
        <w:sz w:val="16"/>
        <w:szCs w:val="16"/>
      </w:rPr>
      <w:fldChar w:fldCharType="end"/>
    </w:r>
    <w:r w:rsidRPr="00A07906">
      <w:rPr>
        <w:rFonts w:ascii="Georgia" w:hAnsi="Georgia"/>
        <w:sz w:val="16"/>
        <w:szCs w:val="16"/>
      </w:rPr>
      <w:t xml:space="preserve"> of </w:t>
    </w:r>
    <w:r w:rsidRPr="00A07906">
      <w:rPr>
        <w:rFonts w:ascii="Georgia" w:hAnsi="Georgia"/>
        <w:bCs/>
        <w:sz w:val="16"/>
        <w:szCs w:val="16"/>
      </w:rPr>
      <w:fldChar w:fldCharType="begin"/>
    </w:r>
    <w:r w:rsidRPr="00A07906">
      <w:rPr>
        <w:rFonts w:ascii="Georgia" w:hAnsi="Georgia"/>
        <w:bCs/>
        <w:sz w:val="16"/>
        <w:szCs w:val="16"/>
      </w:rPr>
      <w:instrText xml:space="preserve"> NUMPAGES  </w:instrText>
    </w:r>
    <w:r w:rsidRPr="00A07906">
      <w:rPr>
        <w:rFonts w:ascii="Georgia" w:hAnsi="Georgia"/>
        <w:bCs/>
        <w:sz w:val="16"/>
        <w:szCs w:val="16"/>
      </w:rPr>
      <w:fldChar w:fldCharType="separate"/>
    </w:r>
    <w:r w:rsidRPr="00A07906">
      <w:rPr>
        <w:rFonts w:ascii="Georgia" w:hAnsi="Georgia"/>
        <w:bCs/>
        <w:noProof/>
        <w:sz w:val="16"/>
        <w:szCs w:val="16"/>
      </w:rPr>
      <w:t>2</w:t>
    </w:r>
    <w:r w:rsidRPr="00A07906">
      <w:rPr>
        <w:rFonts w:ascii="Georgia" w:hAnsi="Georgia"/>
        <w:bCs/>
        <w:sz w:val="16"/>
        <w:szCs w:val="16"/>
      </w:rPr>
      <w:fldChar w:fldCharType="end"/>
    </w:r>
  </w:p>
  <w:p w14:paraId="2E23F6AE" w14:textId="77777777" w:rsidR="00D43344" w:rsidRDefault="00D43344" w:rsidP="00A07906">
    <w:pPr>
      <w:pStyle w:val="NoSpacing"/>
      <w:tabs>
        <w:tab w:val="lef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AA4B" w14:textId="77777777" w:rsidR="004B62EE" w:rsidRDefault="004B62EE">
      <w:r>
        <w:separator/>
      </w:r>
    </w:p>
  </w:footnote>
  <w:footnote w:type="continuationSeparator" w:id="0">
    <w:p w14:paraId="2C72616D" w14:textId="77777777" w:rsidR="004B62EE" w:rsidRDefault="004B6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2C2"/>
    <w:multiLevelType w:val="multilevel"/>
    <w:tmpl w:val="4BFC68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849B7"/>
    <w:multiLevelType w:val="hybridMultilevel"/>
    <w:tmpl w:val="4F5E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F5BA3"/>
    <w:multiLevelType w:val="multilevel"/>
    <w:tmpl w:val="4BFC68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B6D52"/>
    <w:multiLevelType w:val="hybridMultilevel"/>
    <w:tmpl w:val="737AB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EA5D30"/>
    <w:multiLevelType w:val="multilevel"/>
    <w:tmpl w:val="4BFC68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4E1B58"/>
    <w:multiLevelType w:val="hybridMultilevel"/>
    <w:tmpl w:val="5EB4BD0A"/>
    <w:lvl w:ilvl="0" w:tplc="04090001">
      <w:start w:val="1"/>
      <w:numFmt w:val="bullet"/>
      <w:lvlText w:val=""/>
      <w:lvlJc w:val="left"/>
      <w:pPr>
        <w:tabs>
          <w:tab w:val="num" w:pos="720"/>
        </w:tabs>
        <w:ind w:left="720" w:hanging="360"/>
      </w:pPr>
      <w:rPr>
        <w:rFonts w:ascii="Symbol" w:hAnsi="Symbol" w:hint="default"/>
      </w:rPr>
    </w:lvl>
    <w:lvl w:ilvl="1" w:tplc="D07CB35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CA6911"/>
    <w:multiLevelType w:val="hybridMultilevel"/>
    <w:tmpl w:val="EEC81C94"/>
    <w:lvl w:ilvl="0" w:tplc="04090001">
      <w:start w:val="1"/>
      <w:numFmt w:val="bullet"/>
      <w:lvlText w:val=""/>
      <w:lvlJc w:val="left"/>
      <w:pPr>
        <w:tabs>
          <w:tab w:val="num" w:pos="720"/>
        </w:tabs>
        <w:ind w:left="720" w:hanging="360"/>
      </w:pPr>
      <w:rPr>
        <w:rFonts w:ascii="Symbol" w:hAnsi="Symbol" w:hint="default"/>
      </w:rPr>
    </w:lvl>
    <w:lvl w:ilvl="1" w:tplc="D07CB35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841405"/>
    <w:multiLevelType w:val="hybridMultilevel"/>
    <w:tmpl w:val="79321510"/>
    <w:lvl w:ilvl="0" w:tplc="04090001">
      <w:start w:val="1"/>
      <w:numFmt w:val="bullet"/>
      <w:lvlText w:val=""/>
      <w:lvlJc w:val="left"/>
      <w:pPr>
        <w:tabs>
          <w:tab w:val="num" w:pos="720"/>
        </w:tabs>
        <w:ind w:left="720" w:hanging="360"/>
      </w:pPr>
      <w:rPr>
        <w:rFonts w:ascii="Symbol" w:hAnsi="Symbol" w:hint="default"/>
      </w:rPr>
    </w:lvl>
    <w:lvl w:ilvl="1" w:tplc="D07CB35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7E55AA"/>
    <w:multiLevelType w:val="hybridMultilevel"/>
    <w:tmpl w:val="4BFC68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F4674A"/>
    <w:multiLevelType w:val="multilevel"/>
    <w:tmpl w:val="4BFC68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8D6815"/>
    <w:multiLevelType w:val="hybridMultilevel"/>
    <w:tmpl w:val="90081956"/>
    <w:lvl w:ilvl="0" w:tplc="04090001">
      <w:start w:val="1"/>
      <w:numFmt w:val="bullet"/>
      <w:lvlText w:val=""/>
      <w:lvlJc w:val="left"/>
      <w:pPr>
        <w:tabs>
          <w:tab w:val="num" w:pos="720"/>
        </w:tabs>
        <w:ind w:left="720" w:hanging="360"/>
      </w:pPr>
      <w:rPr>
        <w:rFonts w:ascii="Symbol" w:hAnsi="Symbol" w:hint="default"/>
      </w:rPr>
    </w:lvl>
    <w:lvl w:ilvl="1" w:tplc="D07CB35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2711812">
    <w:abstractNumId w:val="1"/>
  </w:num>
  <w:num w:numId="2" w16cid:durableId="409350864">
    <w:abstractNumId w:val="3"/>
  </w:num>
  <w:num w:numId="3" w16cid:durableId="465709817">
    <w:abstractNumId w:val="8"/>
  </w:num>
  <w:num w:numId="4" w16cid:durableId="1587180656">
    <w:abstractNumId w:val="0"/>
  </w:num>
  <w:num w:numId="5" w16cid:durableId="782455904">
    <w:abstractNumId w:val="10"/>
  </w:num>
  <w:num w:numId="6" w16cid:durableId="696273243">
    <w:abstractNumId w:val="9"/>
  </w:num>
  <w:num w:numId="7" w16cid:durableId="1752265920">
    <w:abstractNumId w:val="7"/>
  </w:num>
  <w:num w:numId="8" w16cid:durableId="783111896">
    <w:abstractNumId w:val="2"/>
  </w:num>
  <w:num w:numId="9" w16cid:durableId="1540430247">
    <w:abstractNumId w:val="5"/>
  </w:num>
  <w:num w:numId="10" w16cid:durableId="1532035196">
    <w:abstractNumId w:val="4"/>
  </w:num>
  <w:num w:numId="11" w16cid:durableId="1349261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hdrShapeDefaults>
    <o:shapedefaults v:ext="edit" spidmax="20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6B9E"/>
    <w:rsid w:val="0002123C"/>
    <w:rsid w:val="00056254"/>
    <w:rsid w:val="0007225D"/>
    <w:rsid w:val="00077C66"/>
    <w:rsid w:val="000833AF"/>
    <w:rsid w:val="0008489A"/>
    <w:rsid w:val="00086CA2"/>
    <w:rsid w:val="00091624"/>
    <w:rsid w:val="000A4CD3"/>
    <w:rsid w:val="000B307C"/>
    <w:rsid w:val="000C15DF"/>
    <w:rsid w:val="000C1AA5"/>
    <w:rsid w:val="000D0A62"/>
    <w:rsid w:val="000F4D6B"/>
    <w:rsid w:val="00105C82"/>
    <w:rsid w:val="0016215F"/>
    <w:rsid w:val="00176B9E"/>
    <w:rsid w:val="00184672"/>
    <w:rsid w:val="00185A8E"/>
    <w:rsid w:val="001863D7"/>
    <w:rsid w:val="001877A0"/>
    <w:rsid w:val="001957BA"/>
    <w:rsid w:val="001B5E48"/>
    <w:rsid w:val="00202216"/>
    <w:rsid w:val="00212868"/>
    <w:rsid w:val="00221B3E"/>
    <w:rsid w:val="0023576B"/>
    <w:rsid w:val="00250F9A"/>
    <w:rsid w:val="00263C82"/>
    <w:rsid w:val="0027607F"/>
    <w:rsid w:val="002840D7"/>
    <w:rsid w:val="002C1537"/>
    <w:rsid w:val="002C5AB0"/>
    <w:rsid w:val="002D1143"/>
    <w:rsid w:val="002E5A1A"/>
    <w:rsid w:val="00337BA7"/>
    <w:rsid w:val="0034064E"/>
    <w:rsid w:val="00367D78"/>
    <w:rsid w:val="003C15F4"/>
    <w:rsid w:val="003E17B6"/>
    <w:rsid w:val="003F5109"/>
    <w:rsid w:val="00466D31"/>
    <w:rsid w:val="004911B4"/>
    <w:rsid w:val="004A08C8"/>
    <w:rsid w:val="004B62EE"/>
    <w:rsid w:val="00525032"/>
    <w:rsid w:val="005355A0"/>
    <w:rsid w:val="005415C3"/>
    <w:rsid w:val="00553767"/>
    <w:rsid w:val="00561727"/>
    <w:rsid w:val="00573D45"/>
    <w:rsid w:val="00585893"/>
    <w:rsid w:val="00590EEC"/>
    <w:rsid w:val="005A7676"/>
    <w:rsid w:val="005C4F77"/>
    <w:rsid w:val="005E2299"/>
    <w:rsid w:val="006347D4"/>
    <w:rsid w:val="00652397"/>
    <w:rsid w:val="00686960"/>
    <w:rsid w:val="00691924"/>
    <w:rsid w:val="006C254D"/>
    <w:rsid w:val="006F5C66"/>
    <w:rsid w:val="00716A6B"/>
    <w:rsid w:val="0072616E"/>
    <w:rsid w:val="00732C18"/>
    <w:rsid w:val="00735A93"/>
    <w:rsid w:val="007732A2"/>
    <w:rsid w:val="0078382F"/>
    <w:rsid w:val="007948F2"/>
    <w:rsid w:val="007A54C5"/>
    <w:rsid w:val="007B2A60"/>
    <w:rsid w:val="007E01E4"/>
    <w:rsid w:val="0080020B"/>
    <w:rsid w:val="008977C5"/>
    <w:rsid w:val="008A29D4"/>
    <w:rsid w:val="008C0469"/>
    <w:rsid w:val="008D2C66"/>
    <w:rsid w:val="00907257"/>
    <w:rsid w:val="009716C7"/>
    <w:rsid w:val="00972DB0"/>
    <w:rsid w:val="00980D3D"/>
    <w:rsid w:val="00986BD4"/>
    <w:rsid w:val="00A02BE6"/>
    <w:rsid w:val="00A07906"/>
    <w:rsid w:val="00A41B8E"/>
    <w:rsid w:val="00A50C65"/>
    <w:rsid w:val="00A549FD"/>
    <w:rsid w:val="00A705B0"/>
    <w:rsid w:val="00A76B06"/>
    <w:rsid w:val="00A7799C"/>
    <w:rsid w:val="00AA1825"/>
    <w:rsid w:val="00AA3D10"/>
    <w:rsid w:val="00AD084C"/>
    <w:rsid w:val="00B04323"/>
    <w:rsid w:val="00B20CAC"/>
    <w:rsid w:val="00B239B6"/>
    <w:rsid w:val="00B25A35"/>
    <w:rsid w:val="00B60DDB"/>
    <w:rsid w:val="00B96BF6"/>
    <w:rsid w:val="00BA6E17"/>
    <w:rsid w:val="00BB204B"/>
    <w:rsid w:val="00BB4A6E"/>
    <w:rsid w:val="00BC3DEE"/>
    <w:rsid w:val="00C044DA"/>
    <w:rsid w:val="00C22190"/>
    <w:rsid w:val="00C228C2"/>
    <w:rsid w:val="00C2624D"/>
    <w:rsid w:val="00C266B9"/>
    <w:rsid w:val="00C545E1"/>
    <w:rsid w:val="00C62D2F"/>
    <w:rsid w:val="00C642EA"/>
    <w:rsid w:val="00C8237C"/>
    <w:rsid w:val="00CC09D2"/>
    <w:rsid w:val="00D17CF1"/>
    <w:rsid w:val="00D217FE"/>
    <w:rsid w:val="00D43344"/>
    <w:rsid w:val="00DD4C2E"/>
    <w:rsid w:val="00E06079"/>
    <w:rsid w:val="00E65141"/>
    <w:rsid w:val="00E76ADE"/>
    <w:rsid w:val="00EE14BB"/>
    <w:rsid w:val="00F154E1"/>
    <w:rsid w:val="00F22CEA"/>
    <w:rsid w:val="00F55002"/>
    <w:rsid w:val="00F82E7A"/>
    <w:rsid w:val="00F91FD5"/>
    <w:rsid w:val="00FA0854"/>
    <w:rsid w:val="00FB2697"/>
    <w:rsid w:val="00FC290A"/>
    <w:rsid w:val="00FD04DC"/>
    <w:rsid w:val="00FD6671"/>
    <w:rsid w:val="00FE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04631CA3"/>
  <w15:chartTrackingRefBased/>
  <w15:docId w15:val="{98441BCD-96B3-40E8-AAE3-28A8E09E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BB"/>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39B6"/>
    <w:pPr>
      <w:ind w:left="720"/>
      <w:contextualSpacing/>
    </w:pPr>
  </w:style>
  <w:style w:type="paragraph" w:styleId="BalloonText">
    <w:name w:val="Balloon Text"/>
    <w:basedOn w:val="Normal"/>
    <w:link w:val="BalloonTextChar"/>
    <w:uiPriority w:val="99"/>
    <w:semiHidden/>
    <w:rsid w:val="00CC09D2"/>
    <w:rPr>
      <w:rFonts w:ascii="Tahoma" w:hAnsi="Tahoma" w:cs="Tahoma"/>
      <w:sz w:val="16"/>
      <w:szCs w:val="16"/>
    </w:rPr>
  </w:style>
  <w:style w:type="character" w:customStyle="1" w:styleId="BalloonTextChar">
    <w:name w:val="Balloon Text Char"/>
    <w:link w:val="BalloonText"/>
    <w:uiPriority w:val="99"/>
    <w:semiHidden/>
    <w:locked/>
    <w:rsid w:val="00C22190"/>
    <w:rPr>
      <w:rFonts w:ascii="Times New Roman" w:hAnsi="Times New Roman" w:cs="Times New Roman"/>
      <w:sz w:val="2"/>
    </w:rPr>
  </w:style>
  <w:style w:type="paragraph" w:styleId="Footer">
    <w:name w:val="footer"/>
    <w:basedOn w:val="Normal"/>
    <w:link w:val="FooterChar"/>
    <w:uiPriority w:val="99"/>
    <w:rsid w:val="007732A2"/>
    <w:pPr>
      <w:tabs>
        <w:tab w:val="center" w:pos="4320"/>
        <w:tab w:val="right" w:pos="8640"/>
      </w:tabs>
    </w:pPr>
  </w:style>
  <w:style w:type="character" w:customStyle="1" w:styleId="FooterChar">
    <w:name w:val="Footer Char"/>
    <w:basedOn w:val="DefaultParagraphFont"/>
    <w:link w:val="Footer"/>
    <w:uiPriority w:val="99"/>
    <w:rsid w:val="007610C0"/>
  </w:style>
  <w:style w:type="character" w:styleId="PageNumber">
    <w:name w:val="page number"/>
    <w:uiPriority w:val="99"/>
    <w:rsid w:val="007732A2"/>
    <w:rPr>
      <w:rFonts w:cs="Times New Roman"/>
    </w:rPr>
  </w:style>
  <w:style w:type="paragraph" w:styleId="Header">
    <w:name w:val="header"/>
    <w:basedOn w:val="Normal"/>
    <w:link w:val="HeaderChar"/>
    <w:uiPriority w:val="99"/>
    <w:rsid w:val="003F5109"/>
    <w:pPr>
      <w:tabs>
        <w:tab w:val="center" w:pos="4320"/>
        <w:tab w:val="right" w:pos="8640"/>
      </w:tabs>
    </w:pPr>
  </w:style>
  <w:style w:type="character" w:customStyle="1" w:styleId="HeaderChar">
    <w:name w:val="Header Char"/>
    <w:basedOn w:val="DefaultParagraphFont"/>
    <w:link w:val="Header"/>
    <w:uiPriority w:val="99"/>
    <w:semiHidden/>
    <w:rsid w:val="007610C0"/>
  </w:style>
  <w:style w:type="character" w:styleId="Hyperlink">
    <w:name w:val="Hyperlink"/>
    <w:uiPriority w:val="99"/>
    <w:unhideWhenUsed/>
    <w:rsid w:val="007E01E4"/>
    <w:rPr>
      <w:color w:val="0000FF"/>
      <w:u w:val="single"/>
    </w:rPr>
  </w:style>
  <w:style w:type="character" w:styleId="CommentReference">
    <w:name w:val="annotation reference"/>
    <w:uiPriority w:val="99"/>
    <w:semiHidden/>
    <w:unhideWhenUsed/>
    <w:rsid w:val="00C62D2F"/>
    <w:rPr>
      <w:sz w:val="16"/>
      <w:szCs w:val="16"/>
    </w:rPr>
  </w:style>
  <w:style w:type="paragraph" w:styleId="CommentText">
    <w:name w:val="annotation text"/>
    <w:basedOn w:val="Normal"/>
    <w:link w:val="CommentTextChar"/>
    <w:uiPriority w:val="99"/>
    <w:semiHidden/>
    <w:unhideWhenUsed/>
    <w:rsid w:val="00C62D2F"/>
    <w:rPr>
      <w:sz w:val="20"/>
      <w:szCs w:val="20"/>
    </w:rPr>
  </w:style>
  <w:style w:type="character" w:customStyle="1" w:styleId="CommentTextChar">
    <w:name w:val="Comment Text Char"/>
    <w:basedOn w:val="DefaultParagraphFont"/>
    <w:link w:val="CommentText"/>
    <w:uiPriority w:val="99"/>
    <w:semiHidden/>
    <w:rsid w:val="00C62D2F"/>
  </w:style>
  <w:style w:type="paragraph" w:styleId="CommentSubject">
    <w:name w:val="annotation subject"/>
    <w:basedOn w:val="CommentText"/>
    <w:next w:val="CommentText"/>
    <w:link w:val="CommentSubjectChar"/>
    <w:uiPriority w:val="99"/>
    <w:semiHidden/>
    <w:unhideWhenUsed/>
    <w:rsid w:val="00C62D2F"/>
    <w:rPr>
      <w:b/>
      <w:bCs/>
    </w:rPr>
  </w:style>
  <w:style w:type="character" w:customStyle="1" w:styleId="CommentSubjectChar">
    <w:name w:val="Comment Subject Char"/>
    <w:link w:val="CommentSubject"/>
    <w:uiPriority w:val="99"/>
    <w:semiHidden/>
    <w:rsid w:val="00C62D2F"/>
    <w:rPr>
      <w:b/>
      <w:bCs/>
    </w:rPr>
  </w:style>
  <w:style w:type="paragraph" w:styleId="NoSpacing">
    <w:name w:val="No Spacing"/>
    <w:uiPriority w:val="1"/>
    <w:qFormat/>
    <w:rsid w:val="00D43344"/>
    <w:rPr>
      <w:sz w:val="22"/>
      <w:szCs w:val="22"/>
    </w:rPr>
  </w:style>
  <w:style w:type="character" w:styleId="UnresolvedMention">
    <w:name w:val="Unresolved Mention"/>
    <w:uiPriority w:val="99"/>
    <w:semiHidden/>
    <w:unhideWhenUsed/>
    <w:rsid w:val="00A07906"/>
    <w:rPr>
      <w:color w:val="605E5C"/>
      <w:shd w:val="clear" w:color="auto" w:fill="E1DFDD"/>
    </w:rPr>
  </w:style>
  <w:style w:type="character" w:styleId="FollowedHyperlink">
    <w:name w:val="FollowedHyperlink"/>
    <w:uiPriority w:val="99"/>
    <w:semiHidden/>
    <w:unhideWhenUsed/>
    <w:rsid w:val="006347D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52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diovascular.abbot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CE@Abbo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6" ma:contentTypeDescription="Create a new document." ma:contentTypeScope="" ma:versionID="680c23926543f7402d49618dfb986ce8">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47cb172992c4e5b19a9eb286149ee2ac"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0cd540-a318-4ec3-b6d5-f5c0cde320b7">
      <Terms xmlns="http://schemas.microsoft.com/office/infopath/2007/PartnerControls"/>
    </lcf76f155ced4ddcb4097134ff3c332f>
    <TaxCatchAll xmlns="6f16e43b-f3dc-4b4e-a040-5f4711b1a1c6"/>
  </documentManagement>
</p:properties>
</file>

<file path=customXml/itemProps1.xml><?xml version="1.0" encoding="utf-8"?>
<ds:datastoreItem xmlns:ds="http://schemas.openxmlformats.org/officeDocument/2006/customXml" ds:itemID="{50127841-92FB-4406-97E7-91AA71EB6934}">
  <ds:schemaRefs>
    <ds:schemaRef ds:uri="http://schemas.microsoft.com/sharepoint/v3/contenttype/forms"/>
  </ds:schemaRefs>
</ds:datastoreItem>
</file>

<file path=customXml/itemProps2.xml><?xml version="1.0" encoding="utf-8"?>
<ds:datastoreItem xmlns:ds="http://schemas.openxmlformats.org/officeDocument/2006/customXml" ds:itemID="{9496A47C-D96F-4541-AF53-30E572769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cd540-a318-4ec3-b6d5-f5c0cde320b7"/>
    <ds:schemaRef ds:uri="6f16e43b-f3dc-4b4e-a040-5f4711b1a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C4842-18D0-4AE9-896C-ED7AF6859635}">
  <ds:schemaRefs>
    <ds:schemaRef ds:uri="http://schemas.openxmlformats.org/officeDocument/2006/bibliography"/>
  </ds:schemaRefs>
</ds:datastoreItem>
</file>

<file path=customXml/itemProps4.xml><?xml version="1.0" encoding="utf-8"?>
<ds:datastoreItem xmlns:ds="http://schemas.openxmlformats.org/officeDocument/2006/customXml" ds:itemID="{498F336A-AA9C-4B4C-BDA7-34DCB443E599}">
  <ds:schemaRefs>
    <ds:schemaRef ds:uri="http://schemas.microsoft.com/office/2006/metadata/properties"/>
    <ds:schemaRef ds:uri="http://schemas.microsoft.com/office/infopath/2007/PartnerControls"/>
    <ds:schemaRef ds:uri="4b0cd540-a318-4ec3-b6d5-f5c0cde320b7"/>
    <ds:schemaRef ds:uri="6f16e43b-f3dc-4b4e-a040-5f4711b1a1c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Physician Office Prior Authorization Support: Toolkit Instructions</vt:lpstr>
    </vt:vector>
  </TitlesOfParts>
  <Company>Microsoft</Company>
  <LinksUpToDate>false</LinksUpToDate>
  <CharactersWithSpaces>5303</CharactersWithSpaces>
  <SharedDoc>false</SharedDoc>
  <HLinks>
    <vt:vector size="12" baseType="variant">
      <vt:variant>
        <vt:i4>5832819</vt:i4>
      </vt:variant>
      <vt:variant>
        <vt:i4>0</vt:i4>
      </vt:variant>
      <vt:variant>
        <vt:i4>0</vt:i4>
      </vt:variant>
      <vt:variant>
        <vt:i4>5</vt:i4>
      </vt:variant>
      <vt:variant>
        <vt:lpwstr>mailto:HCE@Abbott.com</vt:lpwstr>
      </vt:variant>
      <vt:variant>
        <vt:lpwstr/>
      </vt:variant>
      <vt:variant>
        <vt:i4>1376337</vt:i4>
      </vt:variant>
      <vt:variant>
        <vt:i4>0</vt:i4>
      </vt:variant>
      <vt:variant>
        <vt:i4>0</vt:i4>
      </vt:variant>
      <vt:variant>
        <vt:i4>5</vt:i4>
      </vt:variant>
      <vt:variant>
        <vt:lpwstr>http://www.cardiovascular.abbott/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Office Prior Authorization Support: Toolkit Instructions</dc:title>
  <dc:subject/>
  <dc:creator>Cara Santillo</dc:creator>
  <cp:keywords/>
  <cp:lastModifiedBy>Phil Harding</cp:lastModifiedBy>
  <cp:revision>2</cp:revision>
  <dcterms:created xsi:type="dcterms:W3CDTF">2023-05-02T00:28:00Z</dcterms:created>
  <dcterms:modified xsi:type="dcterms:W3CDTF">2023-05-02T00:28:00Z</dcterms:modified>
</cp:coreProperties>
</file>