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23DDF" w14:textId="77777777" w:rsidR="00C44F64" w:rsidRDefault="00A52CA0">
      <w:r>
        <w:rPr>
          <w:noProof/>
        </w:rPr>
        <w:drawing>
          <wp:inline distT="0" distB="0" distL="0" distR="0" wp14:anchorId="59D88EDA" wp14:editId="63ED1CFB">
            <wp:extent cx="1024932" cy="114551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_sig_vert_2c_bk_jpg.jpg"/>
                    <pic:cNvPicPr/>
                  </pic:nvPicPr>
                  <pic:blipFill rotWithShape="1">
                    <a:blip r:embed="rId12" cstate="print">
                      <a:extLst>
                        <a:ext uri="{28A0092B-C50C-407E-A947-70E740481C1C}">
                          <a14:useLocalDpi xmlns:a14="http://schemas.microsoft.com/office/drawing/2010/main" val="0"/>
                        </a:ext>
                      </a:extLst>
                    </a:blip>
                    <a:srcRect l="14132" t="12942" r="13757" b="12930"/>
                    <a:stretch/>
                  </pic:blipFill>
                  <pic:spPr bwMode="auto">
                    <a:xfrm>
                      <a:off x="0" y="0"/>
                      <a:ext cx="1025776" cy="1146455"/>
                    </a:xfrm>
                    <a:prstGeom prst="rect">
                      <a:avLst/>
                    </a:prstGeom>
                    <a:ln>
                      <a:noFill/>
                    </a:ln>
                    <a:extLst>
                      <a:ext uri="{53640926-AAD7-44D8-BBD7-CCE9431645EC}">
                        <a14:shadowObscured xmlns:a14="http://schemas.microsoft.com/office/drawing/2010/main"/>
                      </a:ext>
                    </a:extLst>
                  </pic:spPr>
                </pic:pic>
              </a:graphicData>
            </a:graphic>
          </wp:inline>
        </w:drawing>
      </w:r>
    </w:p>
    <w:p w14:paraId="3C4C7EDC" w14:textId="77777777" w:rsidR="005A68FF" w:rsidRPr="00E4112C" w:rsidRDefault="005A68FF" w:rsidP="00A52CA0">
      <w:pPr>
        <w:spacing w:after="0" w:line="240" w:lineRule="auto"/>
        <w:rPr>
          <w:color w:val="A6A6A6" w:themeColor="background1" w:themeShade="A6"/>
          <w:sz w:val="20"/>
          <w:szCs w:val="20"/>
        </w:rPr>
      </w:pPr>
    </w:p>
    <w:p w14:paraId="1B06A439" w14:textId="77777777" w:rsidR="00B314EE" w:rsidRPr="00A52CA0" w:rsidRDefault="005B6EEB" w:rsidP="00A52CA0">
      <w:pPr>
        <w:spacing w:after="0" w:line="240" w:lineRule="auto"/>
        <w:rPr>
          <w:rFonts w:ascii="Georgia" w:hAnsi="Georgia"/>
          <w:color w:val="009CDE"/>
          <w:sz w:val="56"/>
          <w:szCs w:val="56"/>
        </w:rPr>
      </w:pPr>
      <w:r>
        <w:rPr>
          <w:rFonts w:ascii="Georgia" w:hAnsi="Georgia"/>
          <w:color w:val="009CDE"/>
          <w:sz w:val="56"/>
          <w:szCs w:val="56"/>
        </w:rPr>
        <w:t xml:space="preserve">Prior Authorization </w:t>
      </w:r>
      <w:r w:rsidR="00A52CA0" w:rsidRPr="00A52CA0">
        <w:rPr>
          <w:rFonts w:ascii="Georgia" w:hAnsi="Georgia"/>
          <w:color w:val="009CDE"/>
          <w:sz w:val="56"/>
          <w:szCs w:val="56"/>
        </w:rPr>
        <w:t>Checklist for Implanting Physician(s)</w:t>
      </w:r>
    </w:p>
    <w:p w14:paraId="68D6CEE2" w14:textId="77777777" w:rsidR="005A68FF" w:rsidRDefault="005A68FF" w:rsidP="002E564B">
      <w:pPr>
        <w:spacing w:after="0" w:line="240" w:lineRule="auto"/>
      </w:pPr>
    </w:p>
    <w:p w14:paraId="13CBAC70" w14:textId="72B4ED76" w:rsidR="00C379E5" w:rsidRPr="0013257A" w:rsidRDefault="00C379E5" w:rsidP="00C379E5">
      <w:pPr>
        <w:rPr>
          <w:sz w:val="20"/>
          <w:szCs w:val="20"/>
        </w:rPr>
      </w:pPr>
      <w:r w:rsidRPr="0013257A">
        <w:rPr>
          <w:sz w:val="20"/>
          <w:szCs w:val="20"/>
        </w:rPr>
        <w:t>This checklist is provided as a summary of the information used to process United Health</w:t>
      </w:r>
      <w:r w:rsidR="003043C8" w:rsidRPr="0013257A">
        <w:rPr>
          <w:sz w:val="20"/>
          <w:szCs w:val="20"/>
        </w:rPr>
        <w:t>c</w:t>
      </w:r>
      <w:r w:rsidRPr="0013257A">
        <w:rPr>
          <w:sz w:val="20"/>
          <w:szCs w:val="20"/>
        </w:rPr>
        <w:t>are Prior Authorization Requests for Lower Extremity Vascular Intervention procedures</w:t>
      </w:r>
      <w:r w:rsidR="00DE2B35">
        <w:rPr>
          <w:sz w:val="20"/>
          <w:szCs w:val="20"/>
        </w:rPr>
        <w:t xml:space="preserve">. </w:t>
      </w:r>
      <w:r w:rsidR="0013257A">
        <w:rPr>
          <w:sz w:val="20"/>
          <w:szCs w:val="20"/>
        </w:rPr>
        <w:t xml:space="preserve"> </w:t>
      </w:r>
    </w:p>
    <w:tbl>
      <w:tblPr>
        <w:tblStyle w:val="TableGrid"/>
        <w:tblW w:w="14215" w:type="dxa"/>
        <w:tblLook w:val="04A0" w:firstRow="1" w:lastRow="0" w:firstColumn="1" w:lastColumn="0" w:noHBand="0" w:noVBand="1"/>
      </w:tblPr>
      <w:tblGrid>
        <w:gridCol w:w="12886"/>
        <w:gridCol w:w="1329"/>
      </w:tblGrid>
      <w:tr w:rsidR="005B6EEB" w14:paraId="4801CBD5" w14:textId="77777777" w:rsidTr="00FA01B9">
        <w:tc>
          <w:tcPr>
            <w:tcW w:w="12886" w:type="dxa"/>
            <w:shd w:val="clear" w:color="auto" w:fill="009CDE"/>
          </w:tcPr>
          <w:p w14:paraId="07A31397" w14:textId="23EAE032" w:rsidR="005B6EEB" w:rsidRPr="00323676" w:rsidRDefault="005B6EEB">
            <w:pPr>
              <w:rPr>
                <w:b/>
                <w:color w:val="FFFFFF" w:themeColor="background1"/>
                <w:sz w:val="16"/>
                <w:szCs w:val="16"/>
              </w:rPr>
            </w:pPr>
            <w:r>
              <w:rPr>
                <w:b/>
                <w:color w:val="FFFFFF" w:themeColor="background1"/>
                <w:sz w:val="26"/>
                <w:szCs w:val="26"/>
              </w:rPr>
              <w:t>CPT</w:t>
            </w:r>
            <w:r w:rsidR="0097467E" w:rsidRPr="0051193A">
              <w:rPr>
                <w:b/>
                <w:color w:val="FFFFFF" w:themeColor="background1"/>
                <w:sz w:val="26"/>
                <w:szCs w:val="26"/>
                <w:vertAlign w:val="superscript"/>
              </w:rPr>
              <w:t>‡</w:t>
            </w:r>
            <w:r>
              <w:rPr>
                <w:b/>
                <w:color w:val="FFFFFF" w:themeColor="background1"/>
                <w:sz w:val="26"/>
                <w:szCs w:val="26"/>
              </w:rPr>
              <w:t xml:space="preserve"> CODES</w:t>
            </w:r>
          </w:p>
        </w:tc>
        <w:tc>
          <w:tcPr>
            <w:tcW w:w="1329" w:type="dxa"/>
            <w:shd w:val="clear" w:color="auto" w:fill="009CDE"/>
          </w:tcPr>
          <w:p w14:paraId="16334599" w14:textId="77777777" w:rsidR="005B6EEB" w:rsidRPr="00E4112C" w:rsidRDefault="005B6EEB" w:rsidP="00CD28C6">
            <w:pPr>
              <w:jc w:val="center"/>
              <w:rPr>
                <w:b/>
                <w:color w:val="FFFFFF" w:themeColor="background1"/>
                <w:sz w:val="26"/>
                <w:szCs w:val="26"/>
              </w:rPr>
            </w:pPr>
            <w:r w:rsidRPr="00E4112C">
              <w:rPr>
                <w:b/>
                <w:color w:val="FFFFFF" w:themeColor="background1"/>
                <w:sz w:val="26"/>
                <w:szCs w:val="26"/>
              </w:rPr>
              <w:t>INCLUDED</w:t>
            </w:r>
          </w:p>
        </w:tc>
      </w:tr>
      <w:tr w:rsidR="005B6EEB" w14:paraId="763A33A4" w14:textId="77777777" w:rsidTr="00FA01B9">
        <w:tc>
          <w:tcPr>
            <w:tcW w:w="12886" w:type="dxa"/>
            <w:vAlign w:val="center"/>
          </w:tcPr>
          <w:p w14:paraId="07F58EA3" w14:textId="77777777" w:rsidR="005B6EEB" w:rsidRPr="003043C8" w:rsidRDefault="005B6EEB" w:rsidP="002E564B">
            <w:pPr>
              <w:rPr>
                <w:rFonts w:cstheme="minorHAnsi"/>
                <w:sz w:val="20"/>
                <w:szCs w:val="20"/>
              </w:rPr>
            </w:pPr>
            <w:r w:rsidRPr="003043C8">
              <w:rPr>
                <w:rFonts w:cstheme="minorHAnsi"/>
                <w:spacing w:val="-6"/>
                <w:sz w:val="20"/>
                <w:szCs w:val="20"/>
              </w:rPr>
              <w:t xml:space="preserve">37220: </w:t>
            </w:r>
            <w:r w:rsidRPr="0013257A">
              <w:rPr>
                <w:sz w:val="20"/>
                <w:szCs w:val="20"/>
              </w:rPr>
              <w:t>Iliac revascularization</w:t>
            </w:r>
          </w:p>
        </w:tc>
        <w:tc>
          <w:tcPr>
            <w:tcW w:w="1329" w:type="dxa"/>
            <w:vAlign w:val="center"/>
          </w:tcPr>
          <w:p w14:paraId="726DB809" w14:textId="77777777" w:rsidR="005B6EEB" w:rsidRPr="00E4112C" w:rsidRDefault="005B6EEB" w:rsidP="00301188">
            <w:pPr>
              <w:jc w:val="center"/>
              <w:rPr>
                <w:sz w:val="20"/>
                <w:szCs w:val="20"/>
              </w:rPr>
            </w:pPr>
            <w:r w:rsidRPr="00E4112C">
              <w:rPr>
                <w:sz w:val="20"/>
                <w:szCs w:val="20"/>
              </w:rPr>
              <w:sym w:font="Wingdings 2" w:char="F0A3"/>
            </w:r>
          </w:p>
        </w:tc>
      </w:tr>
      <w:tr w:rsidR="005B6EEB" w14:paraId="6E59B0B6" w14:textId="77777777" w:rsidTr="00FA01B9">
        <w:tc>
          <w:tcPr>
            <w:tcW w:w="12886" w:type="dxa"/>
            <w:vAlign w:val="center"/>
          </w:tcPr>
          <w:p w14:paraId="31DC1CE1" w14:textId="77777777" w:rsidR="005B6EEB" w:rsidRPr="003043C8" w:rsidRDefault="005B6EEB" w:rsidP="002E564B">
            <w:pPr>
              <w:rPr>
                <w:sz w:val="20"/>
                <w:szCs w:val="20"/>
              </w:rPr>
            </w:pPr>
            <w:r w:rsidRPr="003043C8">
              <w:rPr>
                <w:sz w:val="20"/>
                <w:szCs w:val="20"/>
              </w:rPr>
              <w:t>37221:</w:t>
            </w:r>
            <w:r w:rsidRPr="0013257A">
              <w:rPr>
                <w:sz w:val="20"/>
                <w:szCs w:val="20"/>
              </w:rPr>
              <w:t xml:space="preserve"> Revascularization, endovascular, open or percutaneous, iliac artery, unilateral, initial vessel; with transluminal stent placement(s), includes angioplasty within same vessel, when performed</w:t>
            </w:r>
          </w:p>
        </w:tc>
        <w:tc>
          <w:tcPr>
            <w:tcW w:w="1329" w:type="dxa"/>
            <w:vAlign w:val="center"/>
          </w:tcPr>
          <w:p w14:paraId="644CB8C8" w14:textId="77777777" w:rsidR="005B6EEB" w:rsidRPr="00E4112C" w:rsidRDefault="005B6EEB" w:rsidP="00301188">
            <w:pPr>
              <w:jc w:val="center"/>
              <w:rPr>
                <w:sz w:val="20"/>
                <w:szCs w:val="20"/>
              </w:rPr>
            </w:pPr>
            <w:r w:rsidRPr="00E4112C">
              <w:rPr>
                <w:sz w:val="20"/>
                <w:szCs w:val="20"/>
              </w:rPr>
              <w:sym w:font="Wingdings 2" w:char="F0A3"/>
            </w:r>
          </w:p>
        </w:tc>
      </w:tr>
      <w:tr w:rsidR="005B6EEB" w14:paraId="178EA8C9" w14:textId="77777777" w:rsidTr="00FA01B9">
        <w:tc>
          <w:tcPr>
            <w:tcW w:w="12886" w:type="dxa"/>
            <w:vAlign w:val="center"/>
          </w:tcPr>
          <w:p w14:paraId="01DD3114" w14:textId="77777777" w:rsidR="005B6EEB" w:rsidRPr="003043C8" w:rsidRDefault="005B6EEB" w:rsidP="002E564B">
            <w:pPr>
              <w:rPr>
                <w:rFonts w:cstheme="minorHAnsi"/>
                <w:sz w:val="20"/>
                <w:szCs w:val="20"/>
              </w:rPr>
            </w:pPr>
            <w:r w:rsidRPr="003043C8">
              <w:rPr>
                <w:rFonts w:cstheme="minorHAnsi"/>
                <w:color w:val="000000"/>
                <w:sz w:val="20"/>
                <w:szCs w:val="20"/>
              </w:rPr>
              <w:t>37224:</w:t>
            </w:r>
            <w:r w:rsidRPr="0013257A">
              <w:rPr>
                <w:sz w:val="20"/>
                <w:szCs w:val="20"/>
              </w:rPr>
              <w:t xml:space="preserve"> Revascularization, endovascular, open or percutaneous, femoral/popliteal artery(s), unilateral; with transluminal angioplasty</w:t>
            </w:r>
          </w:p>
        </w:tc>
        <w:tc>
          <w:tcPr>
            <w:tcW w:w="1329" w:type="dxa"/>
            <w:vAlign w:val="center"/>
          </w:tcPr>
          <w:p w14:paraId="1DB08297" w14:textId="77777777" w:rsidR="005B6EEB" w:rsidRPr="00E4112C" w:rsidRDefault="005B6EEB" w:rsidP="00301188">
            <w:pPr>
              <w:jc w:val="center"/>
              <w:rPr>
                <w:sz w:val="20"/>
                <w:szCs w:val="20"/>
              </w:rPr>
            </w:pPr>
            <w:r>
              <w:rPr>
                <w:sz w:val="20"/>
                <w:szCs w:val="20"/>
              </w:rPr>
              <w:sym w:font="Wingdings 2" w:char="F0A3"/>
            </w:r>
          </w:p>
        </w:tc>
      </w:tr>
      <w:tr w:rsidR="005B6EEB" w:rsidRPr="00E4112C" w14:paraId="41E2FF45" w14:textId="77777777" w:rsidTr="00FA01B9">
        <w:tc>
          <w:tcPr>
            <w:tcW w:w="12886" w:type="dxa"/>
            <w:vAlign w:val="center"/>
          </w:tcPr>
          <w:p w14:paraId="56EDEDE7" w14:textId="77777777" w:rsidR="005B6EEB" w:rsidRPr="003043C8" w:rsidRDefault="005B6EEB" w:rsidP="00115DB6">
            <w:pPr>
              <w:rPr>
                <w:rFonts w:cstheme="minorHAnsi"/>
                <w:sz w:val="20"/>
                <w:szCs w:val="20"/>
              </w:rPr>
            </w:pPr>
            <w:r w:rsidRPr="003043C8">
              <w:rPr>
                <w:rFonts w:cstheme="minorHAnsi"/>
                <w:color w:val="000000"/>
                <w:sz w:val="20"/>
                <w:szCs w:val="20"/>
              </w:rPr>
              <w:t xml:space="preserve">37225: </w:t>
            </w:r>
            <w:r w:rsidRPr="0013257A">
              <w:rPr>
                <w:sz w:val="20"/>
                <w:szCs w:val="20"/>
              </w:rPr>
              <w:t>Revascularization, endovascular, open or percutaneous, femoral/popliteal artery(s), unilateral; with atherectomy, includes angioplasty within the same vessel, when performed</w:t>
            </w:r>
          </w:p>
        </w:tc>
        <w:tc>
          <w:tcPr>
            <w:tcW w:w="1329" w:type="dxa"/>
            <w:vAlign w:val="center"/>
          </w:tcPr>
          <w:p w14:paraId="00CC8A51" w14:textId="77777777" w:rsidR="005B6EEB" w:rsidRPr="00E4112C" w:rsidRDefault="005B6EEB" w:rsidP="00115DB6">
            <w:pPr>
              <w:jc w:val="center"/>
              <w:rPr>
                <w:sz w:val="20"/>
                <w:szCs w:val="20"/>
              </w:rPr>
            </w:pPr>
            <w:r>
              <w:rPr>
                <w:sz w:val="20"/>
                <w:szCs w:val="20"/>
              </w:rPr>
              <w:sym w:font="Wingdings 2" w:char="F0A3"/>
            </w:r>
          </w:p>
        </w:tc>
      </w:tr>
      <w:tr w:rsidR="005B6EEB" w14:paraId="0683FD90" w14:textId="77777777" w:rsidTr="00FA01B9">
        <w:tc>
          <w:tcPr>
            <w:tcW w:w="12886" w:type="dxa"/>
            <w:vAlign w:val="center"/>
          </w:tcPr>
          <w:p w14:paraId="3C67DC99" w14:textId="77777777" w:rsidR="005B6EEB" w:rsidRPr="003043C8" w:rsidRDefault="005B6EEB" w:rsidP="002E564B">
            <w:pPr>
              <w:rPr>
                <w:sz w:val="20"/>
                <w:szCs w:val="20"/>
              </w:rPr>
            </w:pPr>
            <w:r w:rsidRPr="003043C8">
              <w:rPr>
                <w:sz w:val="20"/>
                <w:szCs w:val="20"/>
              </w:rPr>
              <w:t xml:space="preserve">37226: </w:t>
            </w:r>
            <w:r w:rsidRPr="0013257A">
              <w:rPr>
                <w:sz w:val="20"/>
                <w:szCs w:val="20"/>
              </w:rPr>
              <w:t>Revascularization, endovascular, open or percutaneous, femoral/popliteal artery(s), unilateral; with transluminal stent placement(s), includes angioplasty within the same vessel, when performed</w:t>
            </w:r>
          </w:p>
        </w:tc>
        <w:tc>
          <w:tcPr>
            <w:tcW w:w="1329" w:type="dxa"/>
          </w:tcPr>
          <w:p w14:paraId="7786B96A" w14:textId="77777777" w:rsidR="005B6EEB" w:rsidRPr="00E4112C" w:rsidRDefault="005B6EEB" w:rsidP="00CD28C6">
            <w:pPr>
              <w:jc w:val="center"/>
              <w:rPr>
                <w:sz w:val="20"/>
                <w:szCs w:val="20"/>
              </w:rPr>
            </w:pPr>
            <w:r w:rsidRPr="00E4112C">
              <w:rPr>
                <w:sz w:val="20"/>
                <w:szCs w:val="20"/>
              </w:rPr>
              <w:sym w:font="Wingdings 2" w:char="F0A3"/>
            </w:r>
          </w:p>
        </w:tc>
      </w:tr>
      <w:tr w:rsidR="005B6EEB" w14:paraId="19CD5F2C" w14:textId="77777777" w:rsidTr="00FA01B9">
        <w:tc>
          <w:tcPr>
            <w:tcW w:w="12886" w:type="dxa"/>
            <w:vAlign w:val="center"/>
          </w:tcPr>
          <w:p w14:paraId="10A34014" w14:textId="77777777" w:rsidR="005B6EEB" w:rsidRPr="003043C8" w:rsidRDefault="005B6EEB" w:rsidP="002E564B">
            <w:pPr>
              <w:rPr>
                <w:sz w:val="20"/>
                <w:szCs w:val="20"/>
              </w:rPr>
            </w:pPr>
            <w:r w:rsidRPr="003043C8">
              <w:rPr>
                <w:sz w:val="20"/>
                <w:szCs w:val="20"/>
              </w:rPr>
              <w:t xml:space="preserve">37228: </w:t>
            </w:r>
            <w:r w:rsidRPr="0013257A">
              <w:rPr>
                <w:sz w:val="20"/>
                <w:szCs w:val="20"/>
              </w:rPr>
              <w:t>Revascularization, endovascular, open or percutaneous, tibial/peroneal artery, unilateral, initial vessel; with transluminal angioplasty</w:t>
            </w:r>
          </w:p>
        </w:tc>
        <w:tc>
          <w:tcPr>
            <w:tcW w:w="1329" w:type="dxa"/>
          </w:tcPr>
          <w:p w14:paraId="61DDECAC" w14:textId="77777777" w:rsidR="005B6EEB" w:rsidRPr="00E4112C" w:rsidRDefault="005B6EEB" w:rsidP="00CD28C6">
            <w:pPr>
              <w:jc w:val="center"/>
              <w:rPr>
                <w:sz w:val="20"/>
                <w:szCs w:val="20"/>
              </w:rPr>
            </w:pPr>
            <w:r w:rsidRPr="00E4112C">
              <w:rPr>
                <w:sz w:val="20"/>
                <w:szCs w:val="20"/>
              </w:rPr>
              <w:sym w:font="Wingdings 2" w:char="F0A3"/>
            </w:r>
          </w:p>
        </w:tc>
      </w:tr>
      <w:tr w:rsidR="005B6EEB" w14:paraId="410DC900" w14:textId="77777777" w:rsidTr="00FA01B9">
        <w:tc>
          <w:tcPr>
            <w:tcW w:w="12886" w:type="dxa"/>
            <w:vAlign w:val="center"/>
          </w:tcPr>
          <w:p w14:paraId="76C8E8E8" w14:textId="77777777" w:rsidR="005B6EEB" w:rsidRPr="003043C8" w:rsidRDefault="005B6EEB" w:rsidP="002E564B">
            <w:pPr>
              <w:rPr>
                <w:sz w:val="20"/>
                <w:szCs w:val="20"/>
              </w:rPr>
            </w:pPr>
            <w:r w:rsidRPr="003043C8">
              <w:rPr>
                <w:sz w:val="20"/>
                <w:szCs w:val="20"/>
              </w:rPr>
              <w:t xml:space="preserve">37229: </w:t>
            </w:r>
            <w:r w:rsidRPr="0013257A">
              <w:rPr>
                <w:sz w:val="20"/>
                <w:szCs w:val="20"/>
              </w:rPr>
              <w:t>Revascularization, endovascular, open or percutaneous, tibial/peroneal artery, unilateral, initial vessel; with atherectomy, includes angioplasty within the same vessel, when performed</w:t>
            </w:r>
          </w:p>
        </w:tc>
        <w:tc>
          <w:tcPr>
            <w:tcW w:w="1329" w:type="dxa"/>
            <w:vAlign w:val="center"/>
          </w:tcPr>
          <w:p w14:paraId="149C08E4" w14:textId="77777777" w:rsidR="005B6EEB" w:rsidRPr="00E4112C" w:rsidRDefault="005B6EEB" w:rsidP="00301188">
            <w:pPr>
              <w:jc w:val="center"/>
              <w:rPr>
                <w:sz w:val="20"/>
                <w:szCs w:val="20"/>
              </w:rPr>
            </w:pPr>
            <w:r w:rsidRPr="00E4112C">
              <w:rPr>
                <w:sz w:val="20"/>
                <w:szCs w:val="20"/>
              </w:rPr>
              <w:sym w:font="Wingdings 2" w:char="F0A3"/>
            </w:r>
          </w:p>
        </w:tc>
      </w:tr>
    </w:tbl>
    <w:p w14:paraId="1125BA2F" w14:textId="77777777" w:rsidR="00E4112C" w:rsidRDefault="00E4112C" w:rsidP="00E4112C">
      <w:pPr>
        <w:autoSpaceDE w:val="0"/>
        <w:autoSpaceDN w:val="0"/>
        <w:adjustRightInd w:val="0"/>
        <w:spacing w:after="0" w:line="240" w:lineRule="auto"/>
        <w:rPr>
          <w:rFonts w:cstheme="minorHAnsi"/>
          <w:color w:val="000000"/>
          <w:sz w:val="12"/>
          <w:szCs w:val="12"/>
        </w:rPr>
      </w:pPr>
    </w:p>
    <w:p w14:paraId="54D34125" w14:textId="3BC66F76" w:rsidR="000379DB" w:rsidRPr="0013257A" w:rsidRDefault="000379DB" w:rsidP="000379DB">
      <w:pPr>
        <w:rPr>
          <w:sz w:val="20"/>
          <w:szCs w:val="20"/>
        </w:rPr>
      </w:pPr>
      <w:r w:rsidRPr="0013257A">
        <w:rPr>
          <w:sz w:val="20"/>
          <w:szCs w:val="20"/>
        </w:rPr>
        <w:t>United Healt</w:t>
      </w:r>
      <w:r w:rsidR="0013257A">
        <w:rPr>
          <w:sz w:val="20"/>
          <w:szCs w:val="20"/>
        </w:rPr>
        <w:t>h</w:t>
      </w:r>
      <w:r w:rsidR="003043C8" w:rsidRPr="0013257A">
        <w:rPr>
          <w:sz w:val="20"/>
          <w:szCs w:val="20"/>
        </w:rPr>
        <w:t>c</w:t>
      </w:r>
      <w:r w:rsidRPr="0013257A">
        <w:rPr>
          <w:sz w:val="20"/>
          <w:szCs w:val="20"/>
        </w:rPr>
        <w:t xml:space="preserve">are requires the following clinical information when submitting a prior authorization request for the </w:t>
      </w:r>
      <w:proofErr w:type="gramStart"/>
      <w:r w:rsidRPr="0013257A">
        <w:rPr>
          <w:sz w:val="20"/>
          <w:szCs w:val="20"/>
        </w:rPr>
        <w:t>aforementioned CPT</w:t>
      </w:r>
      <w:proofErr w:type="gramEnd"/>
      <w:r w:rsidR="0021696E" w:rsidRPr="0051193A">
        <w:rPr>
          <w:sz w:val="20"/>
          <w:szCs w:val="20"/>
          <w:vertAlign w:val="superscript"/>
        </w:rPr>
        <w:t>‡</w:t>
      </w:r>
      <w:r w:rsidRPr="0013257A">
        <w:rPr>
          <w:sz w:val="20"/>
          <w:szCs w:val="20"/>
        </w:rPr>
        <w:t xml:space="preserve"> codes: </w:t>
      </w:r>
    </w:p>
    <w:p w14:paraId="387F1CC9" w14:textId="77777777" w:rsidR="001D68E4" w:rsidRDefault="001D68E4" w:rsidP="00E4112C">
      <w:pPr>
        <w:autoSpaceDE w:val="0"/>
        <w:autoSpaceDN w:val="0"/>
        <w:adjustRightInd w:val="0"/>
        <w:spacing w:after="0" w:line="240" w:lineRule="auto"/>
        <w:rPr>
          <w:rFonts w:cstheme="minorHAnsi"/>
          <w:b/>
          <w:color w:val="000000"/>
          <w:sz w:val="12"/>
          <w:szCs w:val="12"/>
        </w:rPr>
      </w:pPr>
    </w:p>
    <w:tbl>
      <w:tblPr>
        <w:tblStyle w:val="TableGrid"/>
        <w:tblW w:w="14215" w:type="dxa"/>
        <w:tblLook w:val="04A0" w:firstRow="1" w:lastRow="0" w:firstColumn="1" w:lastColumn="0" w:noHBand="0" w:noVBand="1"/>
      </w:tblPr>
      <w:tblGrid>
        <w:gridCol w:w="12865"/>
        <w:gridCol w:w="1350"/>
      </w:tblGrid>
      <w:tr w:rsidR="00391F92" w14:paraId="3AF77AAE" w14:textId="77777777" w:rsidTr="00391F92">
        <w:tc>
          <w:tcPr>
            <w:tcW w:w="12865" w:type="dxa"/>
            <w:shd w:val="clear" w:color="auto" w:fill="009CDE"/>
          </w:tcPr>
          <w:p w14:paraId="015268D1" w14:textId="600D246F" w:rsidR="00391F92" w:rsidRPr="00E4112C" w:rsidRDefault="00391F92" w:rsidP="00115DB6">
            <w:pPr>
              <w:rPr>
                <w:b/>
                <w:color w:val="FFFFFF" w:themeColor="background1"/>
                <w:sz w:val="26"/>
                <w:szCs w:val="26"/>
              </w:rPr>
            </w:pPr>
            <w:r>
              <w:rPr>
                <w:b/>
                <w:color w:val="FFFFFF" w:themeColor="background1"/>
                <w:sz w:val="26"/>
                <w:szCs w:val="26"/>
              </w:rPr>
              <w:t>REQUIRED INFORMATION</w:t>
            </w:r>
          </w:p>
        </w:tc>
        <w:tc>
          <w:tcPr>
            <w:tcW w:w="1350" w:type="dxa"/>
            <w:shd w:val="clear" w:color="auto" w:fill="009CDE"/>
          </w:tcPr>
          <w:p w14:paraId="791A93B2" w14:textId="77777777" w:rsidR="00391F92" w:rsidRPr="00E4112C" w:rsidRDefault="00391F92" w:rsidP="00115DB6">
            <w:pPr>
              <w:jc w:val="center"/>
              <w:rPr>
                <w:b/>
                <w:color w:val="FFFFFF" w:themeColor="background1"/>
                <w:sz w:val="26"/>
                <w:szCs w:val="26"/>
              </w:rPr>
            </w:pPr>
            <w:r w:rsidRPr="00E4112C">
              <w:rPr>
                <w:b/>
                <w:color w:val="FFFFFF" w:themeColor="background1"/>
                <w:sz w:val="26"/>
                <w:szCs w:val="26"/>
              </w:rPr>
              <w:t>INCLUDED</w:t>
            </w:r>
          </w:p>
        </w:tc>
      </w:tr>
      <w:tr w:rsidR="00391F92" w14:paraId="56E9CEEF" w14:textId="77777777" w:rsidTr="00391F92">
        <w:tc>
          <w:tcPr>
            <w:tcW w:w="12865" w:type="dxa"/>
            <w:vAlign w:val="center"/>
          </w:tcPr>
          <w:p w14:paraId="47F4E02E" w14:textId="594E67C5" w:rsidR="00391F92" w:rsidRPr="0013257A" w:rsidRDefault="00391F92" w:rsidP="00115DB6">
            <w:pPr>
              <w:rPr>
                <w:rFonts w:cstheme="minorHAnsi"/>
                <w:sz w:val="20"/>
                <w:szCs w:val="20"/>
              </w:rPr>
            </w:pPr>
            <w:r w:rsidRPr="0013257A">
              <w:rPr>
                <w:rFonts w:cstheme="minorHAnsi"/>
                <w:spacing w:val="-6"/>
                <w:sz w:val="20"/>
                <w:szCs w:val="20"/>
              </w:rPr>
              <w:t>ICD Diagnosis</w:t>
            </w:r>
          </w:p>
        </w:tc>
        <w:tc>
          <w:tcPr>
            <w:tcW w:w="1350" w:type="dxa"/>
            <w:vAlign w:val="center"/>
          </w:tcPr>
          <w:p w14:paraId="45A1F5DD" w14:textId="77777777" w:rsidR="00391F92" w:rsidRPr="00E4112C" w:rsidRDefault="00391F92" w:rsidP="00115DB6">
            <w:pPr>
              <w:jc w:val="center"/>
              <w:rPr>
                <w:sz w:val="20"/>
                <w:szCs w:val="20"/>
              </w:rPr>
            </w:pPr>
            <w:r w:rsidRPr="00E4112C">
              <w:rPr>
                <w:sz w:val="20"/>
                <w:szCs w:val="20"/>
              </w:rPr>
              <w:sym w:font="Wingdings 2" w:char="F0A3"/>
            </w:r>
          </w:p>
        </w:tc>
      </w:tr>
      <w:tr w:rsidR="00391F92" w14:paraId="4689E063" w14:textId="77777777" w:rsidTr="00391F92">
        <w:tc>
          <w:tcPr>
            <w:tcW w:w="12865" w:type="dxa"/>
            <w:vAlign w:val="center"/>
          </w:tcPr>
          <w:p w14:paraId="62B48827" w14:textId="4E59A12E" w:rsidR="00391F92" w:rsidRPr="003043C8" w:rsidRDefault="00391F92" w:rsidP="00115DB6">
            <w:pPr>
              <w:rPr>
                <w:sz w:val="20"/>
                <w:szCs w:val="20"/>
              </w:rPr>
            </w:pPr>
            <w:r w:rsidRPr="0013257A">
              <w:rPr>
                <w:sz w:val="20"/>
                <w:szCs w:val="20"/>
              </w:rPr>
              <w:t xml:space="preserve">Relevant </w:t>
            </w:r>
            <w:r w:rsidR="003043C8" w:rsidRPr="0013257A">
              <w:rPr>
                <w:sz w:val="20"/>
                <w:szCs w:val="20"/>
              </w:rPr>
              <w:t>h</w:t>
            </w:r>
            <w:r w:rsidRPr="0013257A">
              <w:rPr>
                <w:sz w:val="20"/>
                <w:szCs w:val="20"/>
              </w:rPr>
              <w:t xml:space="preserve">istory and </w:t>
            </w:r>
            <w:r w:rsidR="003043C8" w:rsidRPr="0013257A">
              <w:rPr>
                <w:sz w:val="20"/>
                <w:szCs w:val="20"/>
              </w:rPr>
              <w:t>p</w:t>
            </w:r>
            <w:r w:rsidRPr="0013257A">
              <w:rPr>
                <w:sz w:val="20"/>
                <w:szCs w:val="20"/>
              </w:rPr>
              <w:t>hysical to include member symptoms and pertinent findings due to ischemia</w:t>
            </w:r>
          </w:p>
        </w:tc>
        <w:tc>
          <w:tcPr>
            <w:tcW w:w="1350" w:type="dxa"/>
            <w:vAlign w:val="center"/>
          </w:tcPr>
          <w:p w14:paraId="7CE2716A" w14:textId="77777777" w:rsidR="00391F92" w:rsidRPr="00E4112C" w:rsidRDefault="00391F92" w:rsidP="00115DB6">
            <w:pPr>
              <w:jc w:val="center"/>
              <w:rPr>
                <w:sz w:val="20"/>
                <w:szCs w:val="20"/>
              </w:rPr>
            </w:pPr>
            <w:r w:rsidRPr="00E4112C">
              <w:rPr>
                <w:sz w:val="20"/>
                <w:szCs w:val="20"/>
              </w:rPr>
              <w:sym w:font="Wingdings 2" w:char="F0A3"/>
            </w:r>
          </w:p>
        </w:tc>
      </w:tr>
      <w:tr w:rsidR="00391F92" w14:paraId="6F4FF739" w14:textId="77777777" w:rsidTr="00391F92">
        <w:tc>
          <w:tcPr>
            <w:tcW w:w="12865" w:type="dxa"/>
            <w:vAlign w:val="center"/>
          </w:tcPr>
          <w:p w14:paraId="32720D08" w14:textId="54C09107" w:rsidR="00391F92" w:rsidRPr="003043C8" w:rsidRDefault="00391F92" w:rsidP="00115DB6">
            <w:pPr>
              <w:rPr>
                <w:rFonts w:cstheme="minorHAnsi"/>
                <w:sz w:val="20"/>
                <w:szCs w:val="20"/>
              </w:rPr>
            </w:pPr>
            <w:r w:rsidRPr="0013257A">
              <w:rPr>
                <w:sz w:val="20"/>
                <w:szCs w:val="20"/>
              </w:rPr>
              <w:t>Treatments tried, failed and</w:t>
            </w:r>
            <w:r w:rsidR="003043C8" w:rsidRPr="0013257A">
              <w:rPr>
                <w:sz w:val="20"/>
                <w:szCs w:val="20"/>
              </w:rPr>
              <w:t>/</w:t>
            </w:r>
            <w:r w:rsidRPr="0013257A">
              <w:rPr>
                <w:sz w:val="20"/>
                <w:szCs w:val="20"/>
              </w:rPr>
              <w:t>or contraindicated, including structured</w:t>
            </w:r>
            <w:r w:rsidR="003043C8" w:rsidRPr="0013257A">
              <w:rPr>
                <w:sz w:val="20"/>
                <w:szCs w:val="20"/>
              </w:rPr>
              <w:t xml:space="preserve"> exercise program, pharmacologic therapy, and smoking cessation, if applicable</w:t>
            </w:r>
          </w:p>
        </w:tc>
        <w:tc>
          <w:tcPr>
            <w:tcW w:w="1350" w:type="dxa"/>
            <w:vAlign w:val="center"/>
          </w:tcPr>
          <w:p w14:paraId="0792BDAA" w14:textId="77777777" w:rsidR="00391F92" w:rsidRPr="00E4112C" w:rsidRDefault="00391F92" w:rsidP="00115DB6">
            <w:pPr>
              <w:jc w:val="center"/>
              <w:rPr>
                <w:sz w:val="20"/>
                <w:szCs w:val="20"/>
              </w:rPr>
            </w:pPr>
            <w:r>
              <w:rPr>
                <w:sz w:val="20"/>
                <w:szCs w:val="20"/>
              </w:rPr>
              <w:sym w:font="Wingdings 2" w:char="F0A3"/>
            </w:r>
          </w:p>
        </w:tc>
      </w:tr>
      <w:tr w:rsidR="00391F92" w14:paraId="0DC2C84C" w14:textId="77777777" w:rsidTr="00391F92">
        <w:tc>
          <w:tcPr>
            <w:tcW w:w="12865" w:type="dxa"/>
            <w:vAlign w:val="center"/>
          </w:tcPr>
          <w:p w14:paraId="3BEAED05" w14:textId="64D0F8B6" w:rsidR="00391F92" w:rsidRPr="003043C8" w:rsidRDefault="00391F92" w:rsidP="00115DB6">
            <w:pPr>
              <w:rPr>
                <w:sz w:val="20"/>
                <w:szCs w:val="20"/>
              </w:rPr>
            </w:pPr>
            <w:r w:rsidRPr="0013257A">
              <w:rPr>
                <w:sz w:val="20"/>
                <w:szCs w:val="20"/>
              </w:rPr>
              <w:t>Details of functional disabilities interfering with activities of daily living</w:t>
            </w:r>
          </w:p>
        </w:tc>
        <w:tc>
          <w:tcPr>
            <w:tcW w:w="1350" w:type="dxa"/>
          </w:tcPr>
          <w:p w14:paraId="44141EE0" w14:textId="77777777" w:rsidR="00391F92" w:rsidRPr="00E4112C" w:rsidRDefault="00391F92" w:rsidP="00115DB6">
            <w:pPr>
              <w:jc w:val="center"/>
              <w:rPr>
                <w:sz w:val="20"/>
                <w:szCs w:val="20"/>
              </w:rPr>
            </w:pPr>
            <w:r w:rsidRPr="00E4112C">
              <w:rPr>
                <w:sz w:val="20"/>
                <w:szCs w:val="20"/>
              </w:rPr>
              <w:sym w:font="Wingdings 2" w:char="F0A3"/>
            </w:r>
          </w:p>
        </w:tc>
      </w:tr>
      <w:tr w:rsidR="00391F92" w14:paraId="17A818B8" w14:textId="77777777" w:rsidTr="00391F92">
        <w:tc>
          <w:tcPr>
            <w:tcW w:w="12865" w:type="dxa"/>
            <w:vAlign w:val="center"/>
          </w:tcPr>
          <w:p w14:paraId="048AB1E7" w14:textId="5B776927" w:rsidR="00391F92" w:rsidRPr="003043C8" w:rsidRDefault="00391F92" w:rsidP="00115DB6">
            <w:pPr>
              <w:rPr>
                <w:sz w:val="20"/>
                <w:szCs w:val="20"/>
              </w:rPr>
            </w:pPr>
            <w:r w:rsidRPr="0013257A">
              <w:rPr>
                <w:sz w:val="20"/>
                <w:szCs w:val="20"/>
              </w:rPr>
              <w:t>Ankle-Brachial Index (ABI) Score</w:t>
            </w:r>
          </w:p>
        </w:tc>
        <w:tc>
          <w:tcPr>
            <w:tcW w:w="1350" w:type="dxa"/>
          </w:tcPr>
          <w:p w14:paraId="04D90665" w14:textId="77777777" w:rsidR="00391F92" w:rsidRPr="00E4112C" w:rsidRDefault="00391F92" w:rsidP="00115DB6">
            <w:pPr>
              <w:jc w:val="center"/>
              <w:rPr>
                <w:sz w:val="20"/>
                <w:szCs w:val="20"/>
              </w:rPr>
            </w:pPr>
            <w:r w:rsidRPr="00E4112C">
              <w:rPr>
                <w:sz w:val="20"/>
                <w:szCs w:val="20"/>
              </w:rPr>
              <w:sym w:font="Wingdings 2" w:char="F0A3"/>
            </w:r>
          </w:p>
        </w:tc>
      </w:tr>
      <w:tr w:rsidR="00391F92" w14:paraId="127707D8" w14:textId="77777777" w:rsidTr="00391F92">
        <w:tc>
          <w:tcPr>
            <w:tcW w:w="12865" w:type="dxa"/>
            <w:vAlign w:val="center"/>
          </w:tcPr>
          <w:p w14:paraId="0082C1C0" w14:textId="30317EFB" w:rsidR="00391F92" w:rsidRPr="003043C8" w:rsidRDefault="00391F92" w:rsidP="00115DB6">
            <w:pPr>
              <w:rPr>
                <w:sz w:val="20"/>
                <w:szCs w:val="20"/>
              </w:rPr>
            </w:pPr>
            <w:r w:rsidRPr="0013257A">
              <w:rPr>
                <w:sz w:val="20"/>
                <w:szCs w:val="20"/>
              </w:rPr>
              <w:t xml:space="preserve">Diagnostic </w:t>
            </w:r>
            <w:r w:rsidR="003043C8" w:rsidRPr="0013257A">
              <w:rPr>
                <w:sz w:val="20"/>
                <w:szCs w:val="20"/>
              </w:rPr>
              <w:t>i</w:t>
            </w:r>
            <w:r w:rsidRPr="0013257A">
              <w:rPr>
                <w:sz w:val="20"/>
                <w:szCs w:val="20"/>
              </w:rPr>
              <w:t>mages</w:t>
            </w:r>
            <w:r w:rsidR="003043C8" w:rsidRPr="0013257A">
              <w:rPr>
                <w:sz w:val="20"/>
                <w:szCs w:val="20"/>
              </w:rPr>
              <w:t xml:space="preserve"> (e.g., duplex ultrasound, computed tomography angiography [CTA], magnetic resonance angiography [MRA], or invasive angiography)</w:t>
            </w:r>
            <w:r w:rsidRPr="0013257A">
              <w:rPr>
                <w:sz w:val="20"/>
                <w:szCs w:val="20"/>
              </w:rPr>
              <w:t xml:space="preserve"> documenting the location and severity of the occlusion</w:t>
            </w:r>
          </w:p>
        </w:tc>
        <w:tc>
          <w:tcPr>
            <w:tcW w:w="1350" w:type="dxa"/>
            <w:vAlign w:val="center"/>
          </w:tcPr>
          <w:p w14:paraId="0CA81EC0" w14:textId="77777777" w:rsidR="00391F92" w:rsidRPr="00E4112C" w:rsidRDefault="00391F92" w:rsidP="00115DB6">
            <w:pPr>
              <w:jc w:val="center"/>
              <w:rPr>
                <w:sz w:val="20"/>
                <w:szCs w:val="20"/>
              </w:rPr>
            </w:pPr>
            <w:r w:rsidRPr="00E4112C">
              <w:rPr>
                <w:sz w:val="20"/>
                <w:szCs w:val="20"/>
              </w:rPr>
              <w:sym w:font="Wingdings 2" w:char="F0A3"/>
            </w:r>
          </w:p>
        </w:tc>
      </w:tr>
    </w:tbl>
    <w:p w14:paraId="76BADFA9" w14:textId="77777777" w:rsidR="00FA01B9" w:rsidRDefault="00FA01B9" w:rsidP="00E4112C">
      <w:pPr>
        <w:autoSpaceDE w:val="0"/>
        <w:autoSpaceDN w:val="0"/>
        <w:adjustRightInd w:val="0"/>
        <w:spacing w:after="0" w:line="240" w:lineRule="auto"/>
        <w:rPr>
          <w:rFonts w:cstheme="minorHAnsi"/>
          <w:b/>
          <w:color w:val="000000"/>
          <w:sz w:val="12"/>
          <w:szCs w:val="12"/>
        </w:rPr>
      </w:pPr>
    </w:p>
    <w:p w14:paraId="7A233BEB" w14:textId="77777777" w:rsidR="00FA01B9" w:rsidRDefault="00FA01B9" w:rsidP="00E4112C">
      <w:pPr>
        <w:autoSpaceDE w:val="0"/>
        <w:autoSpaceDN w:val="0"/>
        <w:adjustRightInd w:val="0"/>
        <w:spacing w:after="0" w:line="240" w:lineRule="auto"/>
        <w:rPr>
          <w:rFonts w:cstheme="minorHAnsi"/>
          <w:b/>
          <w:color w:val="000000"/>
          <w:sz w:val="12"/>
          <w:szCs w:val="12"/>
        </w:rPr>
      </w:pPr>
    </w:p>
    <w:p w14:paraId="4F671299" w14:textId="77777777" w:rsidR="00BB7BF5" w:rsidRDefault="00BB7BF5" w:rsidP="006F2FEE">
      <w:pPr>
        <w:spacing w:after="120"/>
        <w:rPr>
          <w:sz w:val="20"/>
          <w:szCs w:val="20"/>
        </w:rPr>
      </w:pPr>
    </w:p>
    <w:p w14:paraId="26B7B892" w14:textId="77777777" w:rsidR="00BB7BF5" w:rsidRDefault="00BB7BF5" w:rsidP="006F2FEE">
      <w:pPr>
        <w:spacing w:after="120"/>
        <w:rPr>
          <w:sz w:val="20"/>
          <w:szCs w:val="20"/>
        </w:rPr>
      </w:pPr>
    </w:p>
    <w:p w14:paraId="07C0810F" w14:textId="259F533A" w:rsidR="003360B3" w:rsidRPr="00DB76B6" w:rsidRDefault="00B11253" w:rsidP="006F2FEE">
      <w:pPr>
        <w:spacing w:after="120"/>
        <w:rPr>
          <w:b/>
          <w:sz w:val="20"/>
          <w:szCs w:val="20"/>
        </w:rPr>
      </w:pPr>
      <w:bookmarkStart w:id="0" w:name="_GoBack"/>
      <w:bookmarkEnd w:id="0"/>
      <w:r w:rsidRPr="00DB76B6">
        <w:rPr>
          <w:b/>
          <w:sz w:val="20"/>
          <w:szCs w:val="20"/>
        </w:rPr>
        <w:lastRenderedPageBreak/>
        <w:t>United Health</w:t>
      </w:r>
      <w:r w:rsidR="003043C8" w:rsidRPr="00DB76B6">
        <w:rPr>
          <w:b/>
          <w:sz w:val="20"/>
          <w:szCs w:val="20"/>
        </w:rPr>
        <w:t>c</w:t>
      </w:r>
      <w:r w:rsidRPr="00DB76B6">
        <w:rPr>
          <w:b/>
          <w:sz w:val="20"/>
          <w:szCs w:val="20"/>
        </w:rPr>
        <w:t>are Prior Authorization Instructions</w:t>
      </w:r>
      <w:r w:rsidR="006F2FEE" w:rsidRPr="00DB76B6">
        <w:rPr>
          <w:b/>
          <w:sz w:val="20"/>
          <w:szCs w:val="20"/>
        </w:rPr>
        <w:t xml:space="preserve">: </w:t>
      </w:r>
    </w:p>
    <w:p w14:paraId="7F23D6AA" w14:textId="2206B4AB" w:rsidR="003360B3" w:rsidRPr="0013257A" w:rsidRDefault="003360B3" w:rsidP="006F2FEE">
      <w:pPr>
        <w:spacing w:after="120"/>
        <w:rPr>
          <w:sz w:val="20"/>
          <w:szCs w:val="20"/>
        </w:rPr>
      </w:pPr>
      <w:r w:rsidRPr="0013257A">
        <w:rPr>
          <w:sz w:val="20"/>
          <w:szCs w:val="20"/>
        </w:rPr>
        <w:t xml:space="preserve">Complete the prior authorization </w:t>
      </w:r>
      <w:r w:rsidR="00DE2B35">
        <w:rPr>
          <w:sz w:val="20"/>
          <w:szCs w:val="20"/>
        </w:rPr>
        <w:t xml:space="preserve">process </w:t>
      </w:r>
      <w:r w:rsidRPr="0013257A">
        <w:rPr>
          <w:sz w:val="20"/>
          <w:szCs w:val="20"/>
        </w:rPr>
        <w:t>online or by phone</w:t>
      </w:r>
      <w:r w:rsidR="00DE2B35">
        <w:rPr>
          <w:rStyle w:val="FootnoteReference"/>
          <w:sz w:val="20"/>
          <w:szCs w:val="20"/>
        </w:rPr>
        <w:footnoteReference w:id="1"/>
      </w:r>
      <w:r w:rsidRPr="0013257A">
        <w:rPr>
          <w:sz w:val="20"/>
          <w:szCs w:val="20"/>
        </w:rPr>
        <w:t xml:space="preserve">: </w:t>
      </w:r>
    </w:p>
    <w:p w14:paraId="1CEF3D22" w14:textId="5A029A94" w:rsidR="003360B3" w:rsidRPr="00DB76B6" w:rsidRDefault="003360B3" w:rsidP="00DB56DE">
      <w:pPr>
        <w:pStyle w:val="ListParagraph"/>
        <w:numPr>
          <w:ilvl w:val="0"/>
          <w:numId w:val="2"/>
        </w:numPr>
        <w:spacing w:after="120"/>
        <w:rPr>
          <w:sz w:val="20"/>
          <w:szCs w:val="20"/>
        </w:rPr>
      </w:pPr>
      <w:r w:rsidRPr="0013257A">
        <w:rPr>
          <w:sz w:val="20"/>
          <w:szCs w:val="20"/>
        </w:rPr>
        <w:t xml:space="preserve">Online: Go to </w:t>
      </w:r>
      <w:r w:rsidR="00DE2B35" w:rsidRPr="00DE2B35">
        <w:rPr>
          <w:sz w:val="20"/>
          <w:szCs w:val="20"/>
        </w:rPr>
        <w:t>www.https//UHCprovider.com/paan</w:t>
      </w:r>
      <w:r w:rsidR="00572BBE">
        <w:rPr>
          <w:sz w:val="20"/>
          <w:szCs w:val="20"/>
        </w:rPr>
        <w:t>.</w:t>
      </w:r>
    </w:p>
    <w:p w14:paraId="2109011E" w14:textId="77777777" w:rsidR="003360B3" w:rsidRPr="0013257A" w:rsidRDefault="003360B3" w:rsidP="0013257A">
      <w:pPr>
        <w:pStyle w:val="ListParagraph"/>
        <w:numPr>
          <w:ilvl w:val="0"/>
          <w:numId w:val="2"/>
        </w:numPr>
        <w:spacing w:after="120"/>
        <w:rPr>
          <w:sz w:val="20"/>
          <w:szCs w:val="20"/>
        </w:rPr>
      </w:pPr>
      <w:r w:rsidRPr="0013257A">
        <w:rPr>
          <w:sz w:val="20"/>
          <w:szCs w:val="20"/>
        </w:rPr>
        <w:t>Phone: Call 877-842-3210 from 7 a.m. to 7 p.m. local time, Monday through Friday</w:t>
      </w:r>
    </w:p>
    <w:p w14:paraId="34BEAB5F" w14:textId="77777777" w:rsidR="00FA01B9" w:rsidRDefault="00FA01B9" w:rsidP="00E4112C">
      <w:pPr>
        <w:autoSpaceDE w:val="0"/>
        <w:autoSpaceDN w:val="0"/>
        <w:adjustRightInd w:val="0"/>
        <w:spacing w:after="0" w:line="240" w:lineRule="auto"/>
        <w:rPr>
          <w:rFonts w:cstheme="minorHAnsi"/>
          <w:b/>
          <w:color w:val="000000"/>
          <w:sz w:val="12"/>
          <w:szCs w:val="12"/>
        </w:rPr>
      </w:pPr>
    </w:p>
    <w:p w14:paraId="11C11EE0" w14:textId="77777777" w:rsidR="00FA01B9" w:rsidRPr="002344B3" w:rsidRDefault="00FA01B9" w:rsidP="00E4112C">
      <w:pPr>
        <w:autoSpaceDE w:val="0"/>
        <w:autoSpaceDN w:val="0"/>
        <w:adjustRightInd w:val="0"/>
        <w:spacing w:after="0" w:line="240" w:lineRule="auto"/>
        <w:rPr>
          <w:rFonts w:cstheme="minorHAnsi"/>
          <w:b/>
          <w:color w:val="000000"/>
          <w:sz w:val="20"/>
          <w:szCs w:val="20"/>
        </w:rPr>
      </w:pPr>
    </w:p>
    <w:p w14:paraId="6339DDFB" w14:textId="77777777" w:rsidR="002344B3" w:rsidRPr="002344B3" w:rsidRDefault="002344B3" w:rsidP="002344B3">
      <w:pPr>
        <w:spacing w:after="0" w:line="240" w:lineRule="auto"/>
        <w:rPr>
          <w:b/>
          <w:sz w:val="20"/>
          <w:szCs w:val="20"/>
        </w:rPr>
      </w:pPr>
      <w:r w:rsidRPr="002344B3">
        <w:rPr>
          <w:b/>
          <w:sz w:val="20"/>
          <w:szCs w:val="20"/>
        </w:rPr>
        <w:t>References:</w:t>
      </w:r>
    </w:p>
    <w:p w14:paraId="3E05D78D" w14:textId="77777777" w:rsidR="002344B3" w:rsidRPr="002344B3" w:rsidRDefault="009B479A" w:rsidP="002344B3">
      <w:pPr>
        <w:pStyle w:val="ListParagraph"/>
        <w:numPr>
          <w:ilvl w:val="0"/>
          <w:numId w:val="1"/>
        </w:numPr>
        <w:spacing w:after="0" w:line="240" w:lineRule="auto"/>
        <w:rPr>
          <w:sz w:val="20"/>
          <w:szCs w:val="20"/>
        </w:rPr>
      </w:pPr>
      <w:hyperlink r:id="rId13" w:history="1">
        <w:r w:rsidR="002344B3" w:rsidRPr="002344B3">
          <w:rPr>
            <w:color w:val="0000FF"/>
            <w:sz w:val="20"/>
            <w:szCs w:val="20"/>
            <w:u w:val="single"/>
          </w:rPr>
          <w:t>https://www.uhcprovider.com/en/resource-library/news/2020-network-bulletin-featured-articles/0620-lower-extremity-vascular-interventions.html</w:t>
        </w:r>
      </w:hyperlink>
    </w:p>
    <w:p w14:paraId="7AF93EFF" w14:textId="77777777" w:rsidR="002344B3" w:rsidRDefault="002344B3" w:rsidP="00E4112C">
      <w:pPr>
        <w:autoSpaceDE w:val="0"/>
        <w:autoSpaceDN w:val="0"/>
        <w:adjustRightInd w:val="0"/>
        <w:spacing w:after="0" w:line="240" w:lineRule="auto"/>
        <w:rPr>
          <w:rFonts w:cstheme="minorHAnsi"/>
          <w:b/>
          <w:color w:val="000000"/>
          <w:sz w:val="12"/>
          <w:szCs w:val="12"/>
        </w:rPr>
      </w:pPr>
    </w:p>
    <w:p w14:paraId="6B264020" w14:textId="77777777" w:rsidR="002344B3" w:rsidRDefault="002344B3" w:rsidP="00E4112C">
      <w:pPr>
        <w:autoSpaceDE w:val="0"/>
        <w:autoSpaceDN w:val="0"/>
        <w:adjustRightInd w:val="0"/>
        <w:spacing w:after="0" w:line="240" w:lineRule="auto"/>
        <w:rPr>
          <w:rFonts w:cstheme="minorHAnsi"/>
          <w:b/>
          <w:color w:val="000000"/>
          <w:sz w:val="12"/>
          <w:szCs w:val="12"/>
        </w:rPr>
      </w:pPr>
    </w:p>
    <w:p w14:paraId="2F4B8304" w14:textId="6CBE0963" w:rsidR="002344B3" w:rsidRPr="009A2705" w:rsidRDefault="002344B3" w:rsidP="002344B3">
      <w:pPr>
        <w:autoSpaceDE w:val="0"/>
        <w:autoSpaceDN w:val="0"/>
        <w:adjustRightInd w:val="0"/>
        <w:spacing w:after="0" w:line="240" w:lineRule="auto"/>
        <w:rPr>
          <w:rFonts w:cstheme="minorHAnsi"/>
          <w:b/>
          <w:color w:val="000000"/>
          <w:sz w:val="20"/>
          <w:szCs w:val="20"/>
        </w:rPr>
      </w:pPr>
      <w:r w:rsidRPr="009A2705">
        <w:rPr>
          <w:rFonts w:cstheme="minorHAnsi"/>
          <w:b/>
          <w:color w:val="000000"/>
          <w:sz w:val="20"/>
          <w:szCs w:val="20"/>
        </w:rPr>
        <w:t>Disclaimer:</w:t>
      </w:r>
    </w:p>
    <w:p w14:paraId="7EEDE9FF" w14:textId="77777777" w:rsidR="002344B3" w:rsidRPr="009A2705" w:rsidRDefault="002344B3" w:rsidP="002344B3">
      <w:pPr>
        <w:spacing w:after="0" w:line="240" w:lineRule="auto"/>
        <w:rPr>
          <w:rFonts w:eastAsiaTheme="minorEastAsia" w:cstheme="minorHAnsi"/>
          <w:sz w:val="20"/>
          <w:szCs w:val="20"/>
        </w:rPr>
      </w:pPr>
      <w:r w:rsidRPr="009A2705">
        <w:rPr>
          <w:rFonts w:eastAsiaTheme="minorEastAsia" w:cstheme="minorHAnsi"/>
          <w:sz w:val="20"/>
          <w:szCs w:val="20"/>
        </w:rPr>
        <w:t>This document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Similarly, nothing in this document should be viewed as instructions for selecting any particular code,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therefore, the customer should check with its local carriers or intermediaries often and should consult with legal counsel or a financial, coding, or reimbursement specialist for any questions related to coding, billing, reimbursement or any related issues. This update reproduces information for reference purposes only. It is not provided or authorized for marketing use.</w:t>
      </w:r>
    </w:p>
    <w:p w14:paraId="2E02EFE8" w14:textId="37134F3E" w:rsidR="002344B3" w:rsidRDefault="002344B3" w:rsidP="00E4112C">
      <w:pPr>
        <w:autoSpaceDE w:val="0"/>
        <w:autoSpaceDN w:val="0"/>
        <w:adjustRightInd w:val="0"/>
        <w:spacing w:after="0" w:line="240" w:lineRule="auto"/>
        <w:rPr>
          <w:rFonts w:cstheme="minorHAnsi"/>
          <w:b/>
          <w:color w:val="000000"/>
          <w:sz w:val="12"/>
          <w:szCs w:val="12"/>
        </w:rPr>
      </w:pPr>
    </w:p>
    <w:p w14:paraId="7AD3BBC9" w14:textId="27D80C0D" w:rsidR="0097467E" w:rsidRDefault="0097467E" w:rsidP="00E4112C">
      <w:pPr>
        <w:autoSpaceDE w:val="0"/>
        <w:autoSpaceDN w:val="0"/>
        <w:adjustRightInd w:val="0"/>
        <w:spacing w:after="0" w:line="240" w:lineRule="auto"/>
        <w:rPr>
          <w:rFonts w:cstheme="minorHAnsi"/>
          <w:b/>
          <w:color w:val="000000"/>
          <w:sz w:val="12"/>
          <w:szCs w:val="12"/>
        </w:rPr>
      </w:pPr>
    </w:p>
    <w:p w14:paraId="26531648" w14:textId="5C8A8D8A" w:rsidR="0097467E" w:rsidRDefault="0097467E" w:rsidP="00E4112C">
      <w:pPr>
        <w:autoSpaceDE w:val="0"/>
        <w:autoSpaceDN w:val="0"/>
        <w:adjustRightInd w:val="0"/>
        <w:spacing w:after="0" w:line="240" w:lineRule="auto"/>
        <w:rPr>
          <w:rFonts w:cstheme="minorHAnsi"/>
          <w:b/>
          <w:color w:val="000000"/>
          <w:sz w:val="12"/>
          <w:szCs w:val="12"/>
        </w:rPr>
      </w:pPr>
    </w:p>
    <w:p w14:paraId="4A64C89D" w14:textId="177114F1" w:rsidR="0097467E" w:rsidRDefault="0097467E" w:rsidP="00E4112C">
      <w:pPr>
        <w:autoSpaceDE w:val="0"/>
        <w:autoSpaceDN w:val="0"/>
        <w:adjustRightInd w:val="0"/>
        <w:spacing w:after="0" w:line="240" w:lineRule="auto"/>
        <w:rPr>
          <w:rFonts w:cstheme="minorHAnsi"/>
          <w:b/>
          <w:color w:val="000000"/>
          <w:sz w:val="12"/>
          <w:szCs w:val="12"/>
        </w:rPr>
      </w:pPr>
    </w:p>
    <w:p w14:paraId="683D1639" w14:textId="7EEDC525" w:rsidR="0097467E" w:rsidRDefault="0097467E" w:rsidP="00E4112C">
      <w:pPr>
        <w:autoSpaceDE w:val="0"/>
        <w:autoSpaceDN w:val="0"/>
        <w:adjustRightInd w:val="0"/>
        <w:spacing w:after="0" w:line="240" w:lineRule="auto"/>
        <w:rPr>
          <w:rFonts w:cstheme="minorHAnsi"/>
          <w:b/>
          <w:color w:val="000000"/>
          <w:sz w:val="12"/>
          <w:szCs w:val="12"/>
        </w:rPr>
      </w:pPr>
    </w:p>
    <w:p w14:paraId="02B111C8" w14:textId="5E03EA84" w:rsidR="00FA7848" w:rsidRDefault="00FA7848" w:rsidP="00E4112C">
      <w:pPr>
        <w:autoSpaceDE w:val="0"/>
        <w:autoSpaceDN w:val="0"/>
        <w:adjustRightInd w:val="0"/>
        <w:spacing w:after="0" w:line="240" w:lineRule="auto"/>
        <w:rPr>
          <w:rFonts w:cstheme="minorHAnsi"/>
          <w:b/>
          <w:color w:val="000000"/>
          <w:sz w:val="12"/>
          <w:szCs w:val="12"/>
        </w:rPr>
      </w:pPr>
    </w:p>
    <w:p w14:paraId="5748A105" w14:textId="18563035" w:rsidR="00FA7848" w:rsidRDefault="00FA7848" w:rsidP="00E4112C">
      <w:pPr>
        <w:autoSpaceDE w:val="0"/>
        <w:autoSpaceDN w:val="0"/>
        <w:adjustRightInd w:val="0"/>
        <w:spacing w:after="0" w:line="240" w:lineRule="auto"/>
        <w:rPr>
          <w:rFonts w:cstheme="minorHAnsi"/>
          <w:b/>
          <w:color w:val="000000"/>
          <w:sz w:val="12"/>
          <w:szCs w:val="12"/>
        </w:rPr>
      </w:pPr>
    </w:p>
    <w:p w14:paraId="3D84309A" w14:textId="13496B80" w:rsidR="00FA7848" w:rsidRDefault="00FA7848" w:rsidP="00E4112C">
      <w:pPr>
        <w:autoSpaceDE w:val="0"/>
        <w:autoSpaceDN w:val="0"/>
        <w:adjustRightInd w:val="0"/>
        <w:spacing w:after="0" w:line="240" w:lineRule="auto"/>
        <w:rPr>
          <w:rFonts w:cstheme="minorHAnsi"/>
          <w:b/>
          <w:color w:val="000000"/>
          <w:sz w:val="12"/>
          <w:szCs w:val="12"/>
        </w:rPr>
      </w:pPr>
    </w:p>
    <w:p w14:paraId="1CA3CCD5" w14:textId="77777777" w:rsidR="00FA7848" w:rsidRDefault="00FA7848" w:rsidP="00E4112C">
      <w:pPr>
        <w:autoSpaceDE w:val="0"/>
        <w:autoSpaceDN w:val="0"/>
        <w:adjustRightInd w:val="0"/>
        <w:spacing w:after="0" w:line="240" w:lineRule="auto"/>
        <w:rPr>
          <w:rFonts w:cstheme="minorHAnsi"/>
          <w:b/>
          <w:color w:val="000000"/>
          <w:sz w:val="12"/>
          <w:szCs w:val="12"/>
        </w:rPr>
      </w:pPr>
    </w:p>
    <w:p w14:paraId="46895075" w14:textId="1CE067B5" w:rsidR="00FA7848" w:rsidRDefault="00FA7848" w:rsidP="00E4112C">
      <w:pPr>
        <w:autoSpaceDE w:val="0"/>
        <w:autoSpaceDN w:val="0"/>
        <w:adjustRightInd w:val="0"/>
        <w:spacing w:after="0" w:line="240" w:lineRule="auto"/>
        <w:rPr>
          <w:rFonts w:cstheme="minorHAnsi"/>
          <w:b/>
          <w:color w:val="000000"/>
          <w:sz w:val="12"/>
          <w:szCs w:val="12"/>
        </w:rPr>
      </w:pPr>
    </w:p>
    <w:p w14:paraId="67F75501" w14:textId="168507CB" w:rsidR="00FA7848" w:rsidRDefault="00FA7848" w:rsidP="00E4112C">
      <w:pPr>
        <w:autoSpaceDE w:val="0"/>
        <w:autoSpaceDN w:val="0"/>
        <w:adjustRightInd w:val="0"/>
        <w:spacing w:after="0" w:line="240" w:lineRule="auto"/>
        <w:rPr>
          <w:rFonts w:cstheme="minorHAnsi"/>
          <w:b/>
          <w:color w:val="000000"/>
          <w:sz w:val="12"/>
          <w:szCs w:val="12"/>
        </w:rPr>
      </w:pPr>
    </w:p>
    <w:p w14:paraId="0888B6F7" w14:textId="7FDFC864" w:rsidR="00FA7848" w:rsidRDefault="00FA7848" w:rsidP="00E4112C">
      <w:pPr>
        <w:autoSpaceDE w:val="0"/>
        <w:autoSpaceDN w:val="0"/>
        <w:adjustRightInd w:val="0"/>
        <w:spacing w:after="0" w:line="240" w:lineRule="auto"/>
        <w:rPr>
          <w:rFonts w:cstheme="minorHAnsi"/>
          <w:b/>
          <w:color w:val="000000"/>
          <w:sz w:val="12"/>
          <w:szCs w:val="12"/>
        </w:rPr>
      </w:pPr>
    </w:p>
    <w:p w14:paraId="47179A0A" w14:textId="6F7D5942" w:rsidR="00FA7848" w:rsidRDefault="00FA7848" w:rsidP="00E4112C">
      <w:pPr>
        <w:autoSpaceDE w:val="0"/>
        <w:autoSpaceDN w:val="0"/>
        <w:adjustRightInd w:val="0"/>
        <w:spacing w:after="0" w:line="240" w:lineRule="auto"/>
        <w:rPr>
          <w:rFonts w:cstheme="minorHAnsi"/>
          <w:b/>
          <w:color w:val="000000"/>
          <w:sz w:val="12"/>
          <w:szCs w:val="12"/>
        </w:rPr>
      </w:pPr>
    </w:p>
    <w:p w14:paraId="36D61AD5" w14:textId="4ED03FE9" w:rsidR="00FA7848" w:rsidRDefault="00FA7848" w:rsidP="00E4112C">
      <w:pPr>
        <w:autoSpaceDE w:val="0"/>
        <w:autoSpaceDN w:val="0"/>
        <w:adjustRightInd w:val="0"/>
        <w:spacing w:after="0" w:line="240" w:lineRule="auto"/>
        <w:rPr>
          <w:rFonts w:cstheme="minorHAnsi"/>
          <w:b/>
          <w:color w:val="000000"/>
          <w:sz w:val="12"/>
          <w:szCs w:val="12"/>
        </w:rPr>
      </w:pPr>
    </w:p>
    <w:p w14:paraId="2630A204" w14:textId="32C43B29" w:rsidR="00FA7848" w:rsidRDefault="00FA7848" w:rsidP="00E4112C">
      <w:pPr>
        <w:autoSpaceDE w:val="0"/>
        <w:autoSpaceDN w:val="0"/>
        <w:adjustRightInd w:val="0"/>
        <w:spacing w:after="0" w:line="240" w:lineRule="auto"/>
        <w:rPr>
          <w:rFonts w:cstheme="minorHAnsi"/>
          <w:b/>
          <w:color w:val="000000"/>
          <w:sz w:val="12"/>
          <w:szCs w:val="12"/>
        </w:rPr>
      </w:pPr>
    </w:p>
    <w:p w14:paraId="2D1E6737" w14:textId="026A8239" w:rsidR="00FA7848" w:rsidRDefault="00FA7848" w:rsidP="00E4112C">
      <w:pPr>
        <w:autoSpaceDE w:val="0"/>
        <w:autoSpaceDN w:val="0"/>
        <w:adjustRightInd w:val="0"/>
        <w:spacing w:after="0" w:line="240" w:lineRule="auto"/>
        <w:rPr>
          <w:rFonts w:cstheme="minorHAnsi"/>
          <w:b/>
          <w:color w:val="000000"/>
          <w:sz w:val="12"/>
          <w:szCs w:val="12"/>
        </w:rPr>
      </w:pPr>
    </w:p>
    <w:p w14:paraId="4B1284FF" w14:textId="2084FEA3" w:rsidR="00FA7848" w:rsidRDefault="00FA7848" w:rsidP="00E4112C">
      <w:pPr>
        <w:autoSpaceDE w:val="0"/>
        <w:autoSpaceDN w:val="0"/>
        <w:adjustRightInd w:val="0"/>
        <w:spacing w:after="0" w:line="240" w:lineRule="auto"/>
        <w:rPr>
          <w:rFonts w:cstheme="minorHAnsi"/>
          <w:b/>
          <w:color w:val="000000"/>
          <w:sz w:val="12"/>
          <w:szCs w:val="12"/>
        </w:rPr>
      </w:pPr>
    </w:p>
    <w:p w14:paraId="29296F16" w14:textId="6AF058F1" w:rsidR="00FA7848" w:rsidRDefault="00FA7848" w:rsidP="00E4112C">
      <w:pPr>
        <w:autoSpaceDE w:val="0"/>
        <w:autoSpaceDN w:val="0"/>
        <w:adjustRightInd w:val="0"/>
        <w:spacing w:after="0" w:line="240" w:lineRule="auto"/>
        <w:rPr>
          <w:rFonts w:cstheme="minorHAnsi"/>
          <w:b/>
          <w:color w:val="000000"/>
          <w:sz w:val="12"/>
          <w:szCs w:val="12"/>
        </w:rPr>
      </w:pPr>
    </w:p>
    <w:p w14:paraId="0A042E9B" w14:textId="10E9FAF4" w:rsidR="00FA7848" w:rsidRDefault="00FA7848" w:rsidP="00E4112C">
      <w:pPr>
        <w:autoSpaceDE w:val="0"/>
        <w:autoSpaceDN w:val="0"/>
        <w:adjustRightInd w:val="0"/>
        <w:spacing w:after="0" w:line="240" w:lineRule="auto"/>
        <w:rPr>
          <w:rFonts w:cstheme="minorHAnsi"/>
          <w:b/>
          <w:color w:val="000000"/>
          <w:sz w:val="12"/>
          <w:szCs w:val="12"/>
        </w:rPr>
      </w:pPr>
      <w:r>
        <w:rPr>
          <w:noProof/>
        </w:rPr>
        <w:drawing>
          <wp:anchor distT="0" distB="0" distL="114300" distR="114300" simplePos="0" relativeHeight="251658240" behindDoc="0" locked="0" layoutInCell="1" allowOverlap="1" wp14:anchorId="60C669E2" wp14:editId="5C575DCB">
            <wp:simplePos x="0" y="0"/>
            <wp:positionH relativeFrom="column">
              <wp:posOffset>7905750</wp:posOffset>
            </wp:positionH>
            <wp:positionV relativeFrom="paragraph">
              <wp:posOffset>15875</wp:posOffset>
            </wp:positionV>
            <wp:extent cx="1024890" cy="1144905"/>
            <wp:effectExtent l="0" t="0" r="3810" b="0"/>
            <wp:wrapThrough wrapText="bothSides">
              <wp:wrapPolygon edited="0">
                <wp:start x="0" y="0"/>
                <wp:lineTo x="0" y="21205"/>
                <wp:lineTo x="21279" y="21205"/>
                <wp:lineTo x="21279"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l="14132" t="12942" r="13757" b="12930"/>
                    <a:stretch/>
                  </pic:blipFill>
                  <pic:spPr bwMode="auto">
                    <a:xfrm>
                      <a:off x="0" y="0"/>
                      <a:ext cx="1024890" cy="1144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4BB079" w14:textId="67A3ADCD" w:rsidR="00A52CA0" w:rsidRPr="002344B3" w:rsidRDefault="00FA7848" w:rsidP="00A52CA0">
      <w:pPr>
        <w:spacing w:after="0" w:line="240" w:lineRule="auto"/>
        <w:rPr>
          <w:b/>
          <w:sz w:val="16"/>
          <w:szCs w:val="16"/>
        </w:rPr>
      </w:pPr>
      <w:r w:rsidRPr="0051193A">
        <w:rPr>
          <w:rFonts w:cstheme="minorHAnsi"/>
          <w:b/>
          <w:color w:val="000000"/>
          <w:sz w:val="16"/>
          <w:szCs w:val="16"/>
        </w:rPr>
        <w:t>A</w:t>
      </w:r>
      <w:r w:rsidR="00A52CA0" w:rsidRPr="002344B3">
        <w:rPr>
          <w:b/>
          <w:sz w:val="16"/>
          <w:szCs w:val="16"/>
        </w:rPr>
        <w:t>bbott</w:t>
      </w:r>
    </w:p>
    <w:p w14:paraId="75BE0977" w14:textId="21E47326" w:rsidR="00A52CA0" w:rsidRPr="002344B3" w:rsidRDefault="00A52CA0" w:rsidP="00A52CA0">
      <w:pPr>
        <w:spacing w:after="0" w:line="240" w:lineRule="auto"/>
        <w:rPr>
          <w:sz w:val="16"/>
          <w:szCs w:val="16"/>
        </w:rPr>
      </w:pPr>
      <w:r w:rsidRPr="002344B3">
        <w:rPr>
          <w:sz w:val="16"/>
          <w:szCs w:val="16"/>
        </w:rPr>
        <w:t>3200 Lakeside Dr., Santa Clara, CA 95054, USA Tel: 1.800.227.9902</w:t>
      </w:r>
    </w:p>
    <w:p w14:paraId="167E0F92" w14:textId="76EF571D" w:rsidR="00A52CA0" w:rsidRPr="002344B3" w:rsidRDefault="009B479A" w:rsidP="00A52CA0">
      <w:pPr>
        <w:spacing w:after="0" w:line="240" w:lineRule="auto"/>
        <w:rPr>
          <w:sz w:val="16"/>
          <w:szCs w:val="16"/>
        </w:rPr>
      </w:pPr>
      <w:hyperlink r:id="rId14" w:history="1">
        <w:r w:rsidR="00A52CA0" w:rsidRPr="002344B3">
          <w:rPr>
            <w:rStyle w:val="Hyperlink"/>
            <w:sz w:val="16"/>
            <w:szCs w:val="16"/>
          </w:rPr>
          <w:t>www.cardiovascular.abbott</w:t>
        </w:r>
      </w:hyperlink>
    </w:p>
    <w:p w14:paraId="7D2818E5" w14:textId="55B1612E" w:rsidR="00A52CA0" w:rsidRPr="002344B3" w:rsidRDefault="00A52CA0" w:rsidP="00A52CA0">
      <w:pPr>
        <w:spacing w:after="0" w:line="240" w:lineRule="auto"/>
        <w:rPr>
          <w:sz w:val="16"/>
          <w:szCs w:val="16"/>
        </w:rPr>
      </w:pPr>
      <w:r w:rsidRPr="002344B3">
        <w:rPr>
          <w:sz w:val="16"/>
          <w:szCs w:val="16"/>
        </w:rPr>
        <w:t>™ Indicates a trademark of the Abbott group of companies.</w:t>
      </w:r>
    </w:p>
    <w:p w14:paraId="065006A0" w14:textId="7BE40419" w:rsidR="00A52CA0" w:rsidRPr="002344B3" w:rsidRDefault="00A52CA0" w:rsidP="00A52CA0">
      <w:pPr>
        <w:spacing w:after="0" w:line="240" w:lineRule="auto"/>
        <w:rPr>
          <w:sz w:val="16"/>
          <w:szCs w:val="16"/>
        </w:rPr>
      </w:pPr>
      <w:r w:rsidRPr="002344B3">
        <w:rPr>
          <w:sz w:val="16"/>
          <w:szCs w:val="16"/>
        </w:rPr>
        <w:t xml:space="preserve">‡ Indicates a </w:t>
      </w:r>
      <w:r w:rsidR="00312CF7" w:rsidRPr="002344B3">
        <w:rPr>
          <w:sz w:val="16"/>
          <w:szCs w:val="16"/>
        </w:rPr>
        <w:t>third-party</w:t>
      </w:r>
      <w:r w:rsidRPr="002344B3">
        <w:rPr>
          <w:sz w:val="16"/>
          <w:szCs w:val="16"/>
        </w:rPr>
        <w:t xml:space="preserve"> trademark, which is the property of its respective owner.</w:t>
      </w:r>
    </w:p>
    <w:p w14:paraId="471ADE4C" w14:textId="426669C3" w:rsidR="00A52CA0" w:rsidRPr="002344B3" w:rsidRDefault="00A52CA0" w:rsidP="00A52CA0">
      <w:pPr>
        <w:spacing w:after="0" w:line="240" w:lineRule="auto"/>
        <w:rPr>
          <w:sz w:val="16"/>
          <w:szCs w:val="16"/>
        </w:rPr>
      </w:pPr>
      <w:r w:rsidRPr="002344B3">
        <w:rPr>
          <w:sz w:val="16"/>
          <w:szCs w:val="16"/>
        </w:rPr>
        <w:t>© 2020 Abbott. All rights reserved.</w:t>
      </w:r>
    </w:p>
    <w:p w14:paraId="6CCEEFF6" w14:textId="5F023719" w:rsidR="00B314EE" w:rsidRDefault="0051193A" w:rsidP="00CD28C6">
      <w:pPr>
        <w:spacing w:after="0" w:line="240" w:lineRule="auto"/>
        <w:rPr>
          <w:sz w:val="16"/>
          <w:szCs w:val="16"/>
        </w:rPr>
      </w:pPr>
      <w:r w:rsidRPr="0051193A">
        <w:rPr>
          <w:rFonts w:cstheme="minorHAnsi"/>
          <w:sz w:val="16"/>
          <w:szCs w:val="16"/>
          <w:shd w:val="clear" w:color="auto" w:fill="FFFFFF"/>
        </w:rPr>
        <w:t>MAT-2007199</w:t>
      </w:r>
      <w:r w:rsidRPr="0051193A">
        <w:rPr>
          <w:rFonts w:ascii="Arial" w:hAnsi="Arial" w:cs="Arial"/>
          <w:sz w:val="17"/>
          <w:szCs w:val="17"/>
          <w:shd w:val="clear" w:color="auto" w:fill="FFFFFF"/>
        </w:rPr>
        <w:t xml:space="preserve"> </w:t>
      </w:r>
      <w:r w:rsidR="00C301DA" w:rsidRPr="002344B3">
        <w:rPr>
          <w:sz w:val="16"/>
          <w:szCs w:val="16"/>
        </w:rPr>
        <w:t>v</w:t>
      </w:r>
      <w:r w:rsidR="002344B3" w:rsidRPr="002344B3">
        <w:rPr>
          <w:sz w:val="16"/>
          <w:szCs w:val="16"/>
        </w:rPr>
        <w:t>1</w:t>
      </w:r>
      <w:r w:rsidR="00A52CA0" w:rsidRPr="002344B3">
        <w:rPr>
          <w:sz w:val="16"/>
          <w:szCs w:val="16"/>
        </w:rPr>
        <w:t>.0 | Item approved for U.S. use only.</w:t>
      </w:r>
    </w:p>
    <w:p w14:paraId="5941D874" w14:textId="3CED8400" w:rsidR="00FA7848" w:rsidRPr="002344B3" w:rsidRDefault="00FA7848" w:rsidP="00CD28C6">
      <w:pPr>
        <w:spacing w:after="0" w:line="240" w:lineRule="auto"/>
        <w:rPr>
          <w:sz w:val="16"/>
          <w:szCs w:val="16"/>
        </w:rPr>
      </w:pPr>
      <w:r>
        <w:rPr>
          <w:sz w:val="16"/>
          <w:szCs w:val="16"/>
        </w:rPr>
        <w:t>HE&amp;R, approved for non-promotional use only.</w:t>
      </w:r>
    </w:p>
    <w:sectPr w:rsidR="00FA7848" w:rsidRPr="002344B3" w:rsidSect="0051193A">
      <w:headerReference w:type="default" r:id="rId15"/>
      <w:pgSz w:w="15840" w:h="12240" w:orient="landscape"/>
      <w:pgMar w:top="576"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E5672" w14:textId="77777777" w:rsidR="009B479A" w:rsidRDefault="009B479A" w:rsidP="009C43E4">
      <w:pPr>
        <w:spacing w:after="0" w:line="240" w:lineRule="auto"/>
      </w:pPr>
      <w:r>
        <w:separator/>
      </w:r>
    </w:p>
  </w:endnote>
  <w:endnote w:type="continuationSeparator" w:id="0">
    <w:p w14:paraId="5B1531CC" w14:textId="77777777" w:rsidR="009B479A" w:rsidRDefault="009B479A" w:rsidP="009C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708FE" w14:textId="77777777" w:rsidR="009B479A" w:rsidRDefault="009B479A" w:rsidP="009C43E4">
      <w:pPr>
        <w:spacing w:after="0" w:line="240" w:lineRule="auto"/>
      </w:pPr>
      <w:r>
        <w:separator/>
      </w:r>
    </w:p>
  </w:footnote>
  <w:footnote w:type="continuationSeparator" w:id="0">
    <w:p w14:paraId="16E92357" w14:textId="77777777" w:rsidR="009B479A" w:rsidRDefault="009B479A" w:rsidP="009C43E4">
      <w:pPr>
        <w:spacing w:after="0" w:line="240" w:lineRule="auto"/>
      </w:pPr>
      <w:r>
        <w:continuationSeparator/>
      </w:r>
    </w:p>
  </w:footnote>
  <w:footnote w:id="1">
    <w:p w14:paraId="3CB45DB2" w14:textId="0D4F7308" w:rsidR="00DE2B35" w:rsidRDefault="00DE2B35" w:rsidP="002344B3">
      <w:pPr>
        <w:pStyle w:val="FootnoteText"/>
        <w:ind w:left="11520" w:firstLine="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6284A" w14:textId="69F9A113" w:rsidR="009C43E4" w:rsidRDefault="009C4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D505E"/>
    <w:multiLevelType w:val="hybridMultilevel"/>
    <w:tmpl w:val="2C58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420D7"/>
    <w:multiLevelType w:val="hybridMultilevel"/>
    <w:tmpl w:val="11845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EE"/>
    <w:rsid w:val="00004DA0"/>
    <w:rsid w:val="000379DB"/>
    <w:rsid w:val="0013257A"/>
    <w:rsid w:val="001C13F4"/>
    <w:rsid w:val="001D68E4"/>
    <w:rsid w:val="00214A4D"/>
    <w:rsid w:val="0021696E"/>
    <w:rsid w:val="00226491"/>
    <w:rsid w:val="002344B3"/>
    <w:rsid w:val="00272CA6"/>
    <w:rsid w:val="002A3187"/>
    <w:rsid w:val="002D0C0B"/>
    <w:rsid w:val="002E564B"/>
    <w:rsid w:val="00301188"/>
    <w:rsid w:val="003043C8"/>
    <w:rsid w:val="00312CF7"/>
    <w:rsid w:val="00323676"/>
    <w:rsid w:val="003360B3"/>
    <w:rsid w:val="003833ED"/>
    <w:rsid w:val="00391F92"/>
    <w:rsid w:val="003D2884"/>
    <w:rsid w:val="00446347"/>
    <w:rsid w:val="004A1864"/>
    <w:rsid w:val="00506690"/>
    <w:rsid w:val="0051193A"/>
    <w:rsid w:val="00560FD4"/>
    <w:rsid w:val="00572BBE"/>
    <w:rsid w:val="00584F66"/>
    <w:rsid w:val="005A68FF"/>
    <w:rsid w:val="005B06DE"/>
    <w:rsid w:val="005B3EDD"/>
    <w:rsid w:val="005B6EEB"/>
    <w:rsid w:val="00644D3C"/>
    <w:rsid w:val="00656ECE"/>
    <w:rsid w:val="00681443"/>
    <w:rsid w:val="006C10A6"/>
    <w:rsid w:val="006F2FEE"/>
    <w:rsid w:val="00705301"/>
    <w:rsid w:val="00731E4B"/>
    <w:rsid w:val="00776350"/>
    <w:rsid w:val="007C3C34"/>
    <w:rsid w:val="007D4289"/>
    <w:rsid w:val="00823853"/>
    <w:rsid w:val="00825302"/>
    <w:rsid w:val="00912365"/>
    <w:rsid w:val="00913E11"/>
    <w:rsid w:val="0097467E"/>
    <w:rsid w:val="009B479A"/>
    <w:rsid w:val="009C43E4"/>
    <w:rsid w:val="00A52CA0"/>
    <w:rsid w:val="00AB7294"/>
    <w:rsid w:val="00B11253"/>
    <w:rsid w:val="00B314EE"/>
    <w:rsid w:val="00BB7BF5"/>
    <w:rsid w:val="00BC5160"/>
    <w:rsid w:val="00C25BC3"/>
    <w:rsid w:val="00C301DA"/>
    <w:rsid w:val="00C379E5"/>
    <w:rsid w:val="00C44F64"/>
    <w:rsid w:val="00CD28C6"/>
    <w:rsid w:val="00DB56DE"/>
    <w:rsid w:val="00DB76B6"/>
    <w:rsid w:val="00DE2B35"/>
    <w:rsid w:val="00E211F5"/>
    <w:rsid w:val="00E23A28"/>
    <w:rsid w:val="00E4112C"/>
    <w:rsid w:val="00FA01B9"/>
    <w:rsid w:val="00FA7848"/>
    <w:rsid w:val="00FE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498CC"/>
  <w15:chartTrackingRefBased/>
  <w15:docId w15:val="{7EB2B1BB-F766-42B2-8BA1-FC241209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2CA0"/>
    <w:rPr>
      <w:color w:val="0563C1" w:themeColor="hyperlink"/>
      <w:u w:val="single"/>
    </w:rPr>
  </w:style>
  <w:style w:type="character" w:styleId="UnresolvedMention">
    <w:name w:val="Unresolved Mention"/>
    <w:basedOn w:val="DefaultParagraphFont"/>
    <w:uiPriority w:val="99"/>
    <w:semiHidden/>
    <w:unhideWhenUsed/>
    <w:rsid w:val="00A52CA0"/>
    <w:rPr>
      <w:color w:val="808080"/>
      <w:shd w:val="clear" w:color="auto" w:fill="E6E6E6"/>
    </w:rPr>
  </w:style>
  <w:style w:type="paragraph" w:styleId="ListParagraph">
    <w:name w:val="List Paragraph"/>
    <w:basedOn w:val="Normal"/>
    <w:uiPriority w:val="34"/>
    <w:qFormat/>
    <w:rsid w:val="005A68FF"/>
    <w:pPr>
      <w:ind w:left="720"/>
      <w:contextualSpacing/>
    </w:pPr>
  </w:style>
  <w:style w:type="paragraph" w:styleId="Header">
    <w:name w:val="header"/>
    <w:basedOn w:val="Normal"/>
    <w:link w:val="HeaderChar"/>
    <w:uiPriority w:val="99"/>
    <w:unhideWhenUsed/>
    <w:rsid w:val="009C4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3E4"/>
  </w:style>
  <w:style w:type="paragraph" w:styleId="Footer">
    <w:name w:val="footer"/>
    <w:basedOn w:val="Normal"/>
    <w:link w:val="FooterChar"/>
    <w:uiPriority w:val="99"/>
    <w:unhideWhenUsed/>
    <w:rsid w:val="009C4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3E4"/>
  </w:style>
  <w:style w:type="paragraph" w:styleId="BalloonText">
    <w:name w:val="Balloon Text"/>
    <w:basedOn w:val="Normal"/>
    <w:link w:val="BalloonTextChar"/>
    <w:uiPriority w:val="99"/>
    <w:semiHidden/>
    <w:unhideWhenUsed/>
    <w:rsid w:val="001C1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3F4"/>
    <w:rPr>
      <w:rFonts w:ascii="Segoe UI" w:hAnsi="Segoe UI" w:cs="Segoe UI"/>
      <w:sz w:val="18"/>
      <w:szCs w:val="18"/>
    </w:rPr>
  </w:style>
  <w:style w:type="character" w:styleId="CommentReference">
    <w:name w:val="annotation reference"/>
    <w:basedOn w:val="DefaultParagraphFont"/>
    <w:uiPriority w:val="99"/>
    <w:semiHidden/>
    <w:unhideWhenUsed/>
    <w:rsid w:val="003043C8"/>
    <w:rPr>
      <w:sz w:val="16"/>
      <w:szCs w:val="16"/>
    </w:rPr>
  </w:style>
  <w:style w:type="paragraph" w:styleId="CommentText">
    <w:name w:val="annotation text"/>
    <w:basedOn w:val="Normal"/>
    <w:link w:val="CommentTextChar"/>
    <w:uiPriority w:val="99"/>
    <w:semiHidden/>
    <w:unhideWhenUsed/>
    <w:rsid w:val="003043C8"/>
    <w:pPr>
      <w:spacing w:line="240" w:lineRule="auto"/>
    </w:pPr>
    <w:rPr>
      <w:sz w:val="20"/>
      <w:szCs w:val="20"/>
    </w:rPr>
  </w:style>
  <w:style w:type="character" w:customStyle="1" w:styleId="CommentTextChar">
    <w:name w:val="Comment Text Char"/>
    <w:basedOn w:val="DefaultParagraphFont"/>
    <w:link w:val="CommentText"/>
    <w:uiPriority w:val="99"/>
    <w:semiHidden/>
    <w:rsid w:val="003043C8"/>
    <w:rPr>
      <w:sz w:val="20"/>
      <w:szCs w:val="20"/>
    </w:rPr>
  </w:style>
  <w:style w:type="paragraph" w:styleId="CommentSubject">
    <w:name w:val="annotation subject"/>
    <w:basedOn w:val="CommentText"/>
    <w:next w:val="CommentText"/>
    <w:link w:val="CommentSubjectChar"/>
    <w:uiPriority w:val="99"/>
    <w:semiHidden/>
    <w:unhideWhenUsed/>
    <w:rsid w:val="003043C8"/>
    <w:rPr>
      <w:b/>
      <w:bCs/>
    </w:rPr>
  </w:style>
  <w:style w:type="character" w:customStyle="1" w:styleId="CommentSubjectChar">
    <w:name w:val="Comment Subject Char"/>
    <w:basedOn w:val="CommentTextChar"/>
    <w:link w:val="CommentSubject"/>
    <w:uiPriority w:val="99"/>
    <w:semiHidden/>
    <w:rsid w:val="003043C8"/>
    <w:rPr>
      <w:b/>
      <w:bCs/>
      <w:sz w:val="20"/>
      <w:szCs w:val="20"/>
    </w:rPr>
  </w:style>
  <w:style w:type="paragraph" w:styleId="Revision">
    <w:name w:val="Revision"/>
    <w:hidden/>
    <w:uiPriority w:val="99"/>
    <w:semiHidden/>
    <w:rsid w:val="0013257A"/>
    <w:pPr>
      <w:spacing w:after="0" w:line="240" w:lineRule="auto"/>
    </w:pPr>
  </w:style>
  <w:style w:type="paragraph" w:styleId="FootnoteText">
    <w:name w:val="footnote text"/>
    <w:basedOn w:val="Normal"/>
    <w:link w:val="FootnoteTextChar"/>
    <w:uiPriority w:val="99"/>
    <w:semiHidden/>
    <w:unhideWhenUsed/>
    <w:rsid w:val="00DE2B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B35"/>
    <w:rPr>
      <w:sz w:val="20"/>
      <w:szCs w:val="20"/>
    </w:rPr>
  </w:style>
  <w:style w:type="character" w:styleId="FootnoteReference">
    <w:name w:val="footnote reference"/>
    <w:basedOn w:val="DefaultParagraphFont"/>
    <w:uiPriority w:val="99"/>
    <w:semiHidden/>
    <w:unhideWhenUsed/>
    <w:rsid w:val="00DE2B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hcprovider.com/en/resource-library/news/2020-network-bulletin-featured-articles/0620-lower-extremity-vascular-intervention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rdiovascular.abb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0A0E7A93C8449B7900AAA018FE674" ma:contentTypeVersion="8" ma:contentTypeDescription="Create a new document." ma:contentTypeScope="" ma:versionID="510e85b27c8c018aab324182d2b9f56b">
  <xsd:schema xmlns:xsd="http://www.w3.org/2001/XMLSchema" xmlns:xs="http://www.w3.org/2001/XMLSchema" xmlns:p="http://schemas.microsoft.com/office/2006/metadata/properties" xmlns:ns2="b86df3c5-aa04-40f3-8cee-a4c6c1a597c4" xmlns:ns3="2fcc91d8-eb74-44c6-b8ba-c5781c3ba947" targetNamespace="http://schemas.microsoft.com/office/2006/metadata/properties" ma:root="true" ma:fieldsID="26cec825319d8a95e0ea29ac1cb7befb" ns2:_="" ns3:_="">
    <xsd:import namespace="b86df3c5-aa04-40f3-8cee-a4c6c1a597c4"/>
    <xsd:import namespace="2fcc91d8-eb74-44c6-b8ba-c5781c3ba94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df3c5-aa04-40f3-8cee-a4c6c1a597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cc91d8-eb74-44c6-b8ba-c5781c3ba9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86df3c5-aa04-40f3-8cee-a4c6c1a597c4">TZ46VZ6Y5VEV-135998015-134</_dlc_DocId>
    <_dlc_DocIdUrl xmlns="b86df3c5-aa04-40f3-8cee-a4c6c1a597c4">
      <Url>https://abbott.sharepoint.com/teams/collab/Reimbursement - Health Economics/HERPAYR/_layouts/15/DocIdRedir.aspx?ID=TZ46VZ6Y5VEV-135998015-134</Url>
      <Description>TZ46VZ6Y5VEV-135998015-134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34C1E-9D4E-4B4B-BCC8-59C16B984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df3c5-aa04-40f3-8cee-a4c6c1a597c4"/>
    <ds:schemaRef ds:uri="2fcc91d8-eb74-44c6-b8ba-c5781c3ba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D2E7B-02F1-47E0-A9E4-DEE2605FA2A0}">
  <ds:schemaRefs>
    <ds:schemaRef ds:uri="http://schemas.microsoft.com/sharepoint/events"/>
  </ds:schemaRefs>
</ds:datastoreItem>
</file>

<file path=customXml/itemProps3.xml><?xml version="1.0" encoding="utf-8"?>
<ds:datastoreItem xmlns:ds="http://schemas.openxmlformats.org/officeDocument/2006/customXml" ds:itemID="{FCBC7853-B6D5-4FCC-8532-BC63DF2F7373}">
  <ds:schemaRefs>
    <ds:schemaRef ds:uri="http://schemas.microsoft.com/sharepoint/v3/contenttype/forms"/>
  </ds:schemaRefs>
</ds:datastoreItem>
</file>

<file path=customXml/itemProps4.xml><?xml version="1.0" encoding="utf-8"?>
<ds:datastoreItem xmlns:ds="http://schemas.openxmlformats.org/officeDocument/2006/customXml" ds:itemID="{63960AD7-A24A-4E74-A194-9D372E1FC0E2}">
  <ds:schemaRefs>
    <ds:schemaRef ds:uri="http://schemas.microsoft.com/office/2006/metadata/properties"/>
    <ds:schemaRef ds:uri="http://schemas.microsoft.com/office/infopath/2007/PartnerControls"/>
    <ds:schemaRef ds:uri="b86df3c5-aa04-40f3-8cee-a4c6c1a597c4"/>
  </ds:schemaRefs>
</ds:datastoreItem>
</file>

<file path=customXml/itemProps5.xml><?xml version="1.0" encoding="utf-8"?>
<ds:datastoreItem xmlns:ds="http://schemas.openxmlformats.org/officeDocument/2006/customXml" ds:itemID="{D061513B-2FD6-410B-8DA8-BC5564C6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3939</Characters>
  <Application>Microsoft Office Word</Application>
  <DocSecurity>0</DocSecurity>
  <Lines>103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Zamzes, Marie</dc:creator>
  <cp:keywords/>
  <dc:description/>
  <cp:lastModifiedBy>Zamzes, Marie</cp:lastModifiedBy>
  <cp:revision>5</cp:revision>
  <dcterms:created xsi:type="dcterms:W3CDTF">2020-08-13T15:32:00Z</dcterms:created>
  <dcterms:modified xsi:type="dcterms:W3CDTF">2020-08-13T15:33:00Z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0x010100CB00A0E7A93C8449B7900AAA018FE674</vt:lpwstr>
  </property>
  <property fmtid="{D5CDD505-2E9C-101B-9397-08002B2CF9AE}" pid="3" name="_dlc_DocIdItemGuid">
    <vt:lpwstr>46caa14b-445f-4f42-93ee-977f4aa17849</vt:lpwstr>
  </property>
</Properties>
</file>